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single" w:sz="4" w:space="0" w:color="auto"/>
        </w:tblBorders>
        <w:tblLayout w:type="fixed"/>
        <w:tblCellMar>
          <w:bottom w:w="142" w:type="dxa"/>
        </w:tblCellMar>
        <w:tblLook w:val="0000"/>
      </w:tblPr>
      <w:tblGrid>
        <w:gridCol w:w="993"/>
        <w:gridCol w:w="9355"/>
      </w:tblGrid>
      <w:tr w:rsidR="009D25EC" w:rsidRPr="00ED3C77">
        <w:trPr>
          <w:trHeight w:val="1881"/>
        </w:trPr>
        <w:tc>
          <w:tcPr>
            <w:tcW w:w="993" w:type="dxa"/>
            <w:vAlign w:val="center"/>
          </w:tcPr>
          <w:p w:rsidR="009D25EC" w:rsidRPr="00ED3C77" w:rsidRDefault="000A15BE" w:rsidP="00E33755">
            <w:pPr>
              <w:jc w:val="center"/>
              <w:rPr>
                <w:b/>
                <w:bCs/>
              </w:rPr>
            </w:pPr>
            <w:bookmarkStart w:id="0" w:name="_Toc326767645"/>
            <w:bookmarkStart w:id="1" w:name="_Toc326767647"/>
            <w:r>
              <w:rPr>
                <w:b/>
                <w:bCs/>
                <w:noProof/>
                <w:lang w:val="en-US"/>
              </w:rPr>
              <w:drawing>
                <wp:inline distT="0" distB="0" distL="0" distR="0">
                  <wp:extent cx="581025" cy="1162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9D25EC" w:rsidRPr="00ED3C77" w:rsidRDefault="009D25EC" w:rsidP="009D25EC">
            <w:pPr>
              <w:spacing w:after="120"/>
              <w:jc w:val="center"/>
              <w:rPr>
                <w:b/>
                <w:bCs/>
                <w:color w:val="3487C8"/>
                <w:sz w:val="22"/>
                <w:szCs w:val="22"/>
              </w:rPr>
            </w:pPr>
            <w:r w:rsidRPr="00ED3C77">
              <w:rPr>
                <w:b/>
                <w:bCs/>
                <w:color w:val="3487C8"/>
                <w:sz w:val="22"/>
                <w:szCs w:val="22"/>
              </w:rPr>
              <w:t>Emerging Security Challenges Division</w:t>
            </w:r>
          </w:p>
          <w:p w:rsidR="009D25EC" w:rsidRPr="00ED3C77" w:rsidRDefault="009D25EC" w:rsidP="009D25EC">
            <w:pPr>
              <w:spacing w:after="200"/>
              <w:jc w:val="center"/>
              <w:rPr>
                <w:b/>
                <w:bCs/>
                <w:color w:val="3487C8"/>
                <w:sz w:val="28"/>
                <w:szCs w:val="28"/>
              </w:rPr>
            </w:pPr>
            <w:r w:rsidRPr="00ED3C77">
              <w:rPr>
                <w:b/>
                <w:bCs/>
                <w:color w:val="3487C8"/>
                <w:sz w:val="28"/>
                <w:szCs w:val="28"/>
              </w:rPr>
              <w:t>Science for Peace and Security Programme</w:t>
            </w:r>
          </w:p>
          <w:p w:rsidR="009D25EC" w:rsidRPr="00F07247" w:rsidRDefault="00904BB2" w:rsidP="009D25EC">
            <w:pPr>
              <w:spacing w:after="200"/>
              <w:jc w:val="center"/>
              <w:rPr>
                <w:rFonts w:ascii="Arial" w:hAnsi="Arial" w:cs="Arial"/>
                <w:b/>
                <w:bCs/>
                <w:color w:val="00408B"/>
                <w:sz w:val="32"/>
                <w:szCs w:val="32"/>
              </w:rPr>
            </w:pPr>
            <w:r w:rsidRPr="00DC4E6D">
              <w:rPr>
                <w:rFonts w:ascii="Arial" w:hAnsi="Arial" w:cs="Arial"/>
                <w:b/>
                <w:bCs/>
                <w:color w:val="00408B"/>
                <w:sz w:val="32"/>
                <w:szCs w:val="32"/>
              </w:rPr>
              <w:t xml:space="preserve">Guidelines for Applicants: </w:t>
            </w:r>
            <w:r>
              <w:rPr>
                <w:rFonts w:ascii="Arial" w:hAnsi="Arial" w:cs="Arial"/>
                <w:b/>
                <w:bCs/>
                <w:color w:val="00408B"/>
                <w:sz w:val="32"/>
                <w:szCs w:val="32"/>
              </w:rPr>
              <w:t>SPS Project</w:t>
            </w:r>
          </w:p>
          <w:p w:rsidR="009D25EC" w:rsidRPr="00ED3C77" w:rsidRDefault="009D25EC" w:rsidP="009D25EC">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58543C" w:rsidRPr="00ED3C77" w:rsidRDefault="0058543C" w:rsidP="00234914">
      <w:pPr>
        <w:pStyle w:val="Heading1"/>
      </w:pPr>
      <w:r w:rsidRPr="00ED3C77">
        <w:t>Introduction</w:t>
      </w:r>
      <w:bookmarkEnd w:id="0"/>
    </w:p>
    <w:p w:rsidR="0058543C" w:rsidRPr="00ED3C77" w:rsidRDefault="0058543C" w:rsidP="0058543C">
      <w:pPr>
        <w:pStyle w:val="Body"/>
      </w:pPr>
      <w:r w:rsidRPr="00ED3C77">
        <w:t xml:space="preserve">The NATO Science for Peace and Security Programme (SPS) seeks to enhance cooperation and dialogue with all partners through civil science and innovation. The SPS Programme offers grants for </w:t>
      </w:r>
      <w:r w:rsidR="009D25EC" w:rsidRPr="00ED3C77">
        <w:t>collaborative</w:t>
      </w:r>
      <w:r w:rsidRPr="00ED3C77">
        <w:t xml:space="preserve"> research and development projects, workshops</w:t>
      </w:r>
      <w:r w:rsidR="00E46B60">
        <w:t>, institutes,</w:t>
      </w:r>
      <w:r w:rsidRPr="00ED3C77">
        <w:t xml:space="preserve"> and training involving scientists from NATO nations and partner countries. SPS funds activities relevant to NATO`s strategic objectives which address SPS Key Priorities (See </w:t>
      </w:r>
      <w:hyperlink w:anchor="Annex1KeyPriorities" w:history="1">
        <w:r w:rsidRPr="00ED3C77">
          <w:rPr>
            <w:rStyle w:val="Hyperlink"/>
            <w:b/>
          </w:rPr>
          <w:t>Annex 1</w:t>
        </w:r>
      </w:hyperlink>
      <w:r w:rsidRPr="00ED3C77">
        <w:t>).</w:t>
      </w:r>
    </w:p>
    <w:p w:rsidR="0058543C" w:rsidRPr="00ED3C77" w:rsidRDefault="0058543C" w:rsidP="0058543C">
      <w:pPr>
        <w:pStyle w:val="Body"/>
      </w:pPr>
      <w:r w:rsidRPr="00ED3C77">
        <w:t>This document provides guidelines for applicants seeking SPS sponsorship of</w:t>
      </w:r>
      <w:r w:rsidR="00E46B60">
        <w:t xml:space="preserve"> </w:t>
      </w:r>
      <w:r w:rsidR="00E46B60" w:rsidRPr="00E46B60">
        <w:rPr>
          <w:b/>
        </w:rPr>
        <w:t>collaborative research</w:t>
      </w:r>
      <w:r w:rsidRPr="00E46B60">
        <w:rPr>
          <w:b/>
        </w:rPr>
        <w:t xml:space="preserve"> projects</w:t>
      </w:r>
      <w:r w:rsidR="00E46B60" w:rsidRPr="00E46B60">
        <w:t>,</w:t>
      </w:r>
      <w:r w:rsidRPr="00ED3C77">
        <w:t xml:space="preserve"> including details of the application process, the criteria by which applications are judged, and information about the procedures for the funding and m</w:t>
      </w:r>
      <w:r w:rsidR="00E46B60">
        <w:t>anagement of approved projects.</w:t>
      </w:r>
    </w:p>
    <w:p w:rsidR="0058543C" w:rsidRPr="00ED3C77" w:rsidRDefault="0058543C" w:rsidP="0058543C">
      <w:pPr>
        <w:pStyle w:val="Body"/>
      </w:pPr>
      <w:r w:rsidRPr="00ED3C77">
        <w:t xml:space="preserve">These Guidelines and the Management Handbook are also available on the NATO website: </w:t>
      </w:r>
      <w:hyperlink r:id="rId9" w:history="1">
        <w:r w:rsidR="00C84084" w:rsidRPr="000774D8">
          <w:rPr>
            <w:rStyle w:val="Hyperlink"/>
          </w:rPr>
          <w:t>www.nato.int/science</w:t>
        </w:r>
      </w:hyperlink>
      <w:r w:rsidR="00E46B60">
        <w:t xml:space="preserve">, along with separate guidelines for </w:t>
      </w:r>
      <w:r w:rsidR="00904BB2">
        <w:t>Advanced Research Workshop</w:t>
      </w:r>
      <w:r w:rsidR="00E46B60">
        <w:t xml:space="preserve">, </w:t>
      </w:r>
      <w:r w:rsidR="00904BB2">
        <w:t>Advanced S</w:t>
      </w:r>
      <w:r w:rsidR="007D7DBD">
        <w:t xml:space="preserve">tudy </w:t>
      </w:r>
      <w:r w:rsidR="00904BB2">
        <w:t>I</w:t>
      </w:r>
      <w:r w:rsidR="00E46B60">
        <w:t xml:space="preserve">nstitute, and </w:t>
      </w:r>
      <w:r w:rsidR="00904BB2">
        <w:t>Advanced T</w:t>
      </w:r>
      <w:r w:rsidR="00E46B60">
        <w:t>raining grant applicants</w:t>
      </w:r>
      <w:r w:rsidRPr="00ED3C77">
        <w:t>.</w:t>
      </w:r>
    </w:p>
    <w:p w:rsidR="0058543C" w:rsidRPr="00ED3C77" w:rsidRDefault="0058543C" w:rsidP="00234914">
      <w:pPr>
        <w:pStyle w:val="Heading1"/>
      </w:pPr>
      <w:bookmarkStart w:id="2" w:name="_Toc326767649"/>
      <w:bookmarkStart w:id="3" w:name="_Toc326767646"/>
      <w:r w:rsidRPr="00ED3C77">
        <w:t>What Can SPS Offer?</w:t>
      </w:r>
      <w:bookmarkEnd w:id="2"/>
    </w:p>
    <w:p w:rsidR="0058543C" w:rsidRPr="00ED3C77" w:rsidRDefault="0058543C" w:rsidP="0058543C">
      <w:pPr>
        <w:pStyle w:val="Body"/>
      </w:pPr>
      <w:r w:rsidRPr="00ED3C77">
        <w:t xml:space="preserve">SPS supports research and development projects related to NATO’s strategic goals and relevant to SPS Key Priorities (See </w:t>
      </w:r>
      <w:hyperlink w:anchor="Annex1KeyPriorities" w:history="1">
        <w:r w:rsidRPr="00ED3C77">
          <w:rPr>
            <w:rStyle w:val="Hyperlink"/>
            <w:b/>
          </w:rPr>
          <w:t>Annex 1</w:t>
        </w:r>
      </w:hyperlink>
      <w:r w:rsidRPr="00ED3C77">
        <w:t>). SPS funds projects for up to three years. Please coordinate with the SPS office before submitting a proposal over €400,000.</w:t>
      </w:r>
    </w:p>
    <w:p w:rsidR="0058543C" w:rsidRPr="00ED3C77" w:rsidRDefault="0058543C" w:rsidP="0058543C">
      <w:pPr>
        <w:pStyle w:val="Body"/>
      </w:pPr>
      <w:r w:rsidRPr="00ED3C77">
        <w:t>In addition to relevance to the SPS Key Priorities, projects are evaluated based on their potential for:</w:t>
      </w:r>
    </w:p>
    <w:p w:rsidR="0058543C" w:rsidRPr="00ED3C77" w:rsidRDefault="0058543C" w:rsidP="008512C6">
      <w:pPr>
        <w:pStyle w:val="Body"/>
        <w:numPr>
          <w:ilvl w:val="0"/>
          <w:numId w:val="9"/>
        </w:numPr>
        <w:spacing w:after="60"/>
        <w:ind w:left="714" w:hanging="357"/>
      </w:pPr>
      <w:r w:rsidRPr="00ED3C77">
        <w:t>high quality research and development with clear and realistic objectives</w:t>
      </w:r>
    </w:p>
    <w:p w:rsidR="0058543C" w:rsidRPr="00ED3C77" w:rsidRDefault="0058543C" w:rsidP="008512C6">
      <w:pPr>
        <w:pStyle w:val="Body"/>
        <w:numPr>
          <w:ilvl w:val="0"/>
          <w:numId w:val="9"/>
        </w:numPr>
        <w:spacing w:after="60"/>
        <w:ind w:left="714" w:hanging="357"/>
      </w:pPr>
      <w:r w:rsidRPr="00ED3C77">
        <w:t>solid scientific or technical outcomes</w:t>
      </w:r>
    </w:p>
    <w:p w:rsidR="0058543C" w:rsidRPr="00ED3C77" w:rsidRDefault="0058543C" w:rsidP="008512C6">
      <w:pPr>
        <w:pStyle w:val="Body"/>
        <w:numPr>
          <w:ilvl w:val="0"/>
          <w:numId w:val="9"/>
        </w:numPr>
        <w:spacing w:after="60"/>
        <w:ind w:left="714" w:hanging="357"/>
      </w:pPr>
      <w:r w:rsidRPr="00ED3C77">
        <w:t>substantial cooperation among researchers from NATO nations and partner countries</w:t>
      </w:r>
    </w:p>
    <w:p w:rsidR="0058543C" w:rsidRPr="00ED3C77" w:rsidRDefault="0058543C" w:rsidP="008512C6">
      <w:pPr>
        <w:pStyle w:val="Body"/>
        <w:numPr>
          <w:ilvl w:val="0"/>
          <w:numId w:val="9"/>
        </w:numPr>
        <w:spacing w:after="60"/>
        <w:ind w:left="714" w:hanging="357"/>
      </w:pPr>
      <w:r w:rsidRPr="00ED3C77">
        <w:t>collaboration between researchers and potential end-users</w:t>
      </w:r>
      <w:r w:rsidR="00952B70" w:rsidRPr="00ED3C77">
        <w:rPr>
          <w:rStyle w:val="FootnoteReference"/>
        </w:rPr>
        <w:footnoteReference w:id="1"/>
      </w:r>
      <w:r w:rsidR="00952B70" w:rsidRPr="00ED3C77">
        <w:t xml:space="preserve"> of the project results</w:t>
      </w:r>
    </w:p>
    <w:p w:rsidR="0058543C" w:rsidRPr="00ED3C77" w:rsidRDefault="00952B70" w:rsidP="008512C6">
      <w:pPr>
        <w:pStyle w:val="Body"/>
        <w:numPr>
          <w:ilvl w:val="0"/>
          <w:numId w:val="9"/>
        </w:numPr>
        <w:spacing w:after="60"/>
        <w:ind w:left="714" w:hanging="357"/>
      </w:pPr>
      <w:r w:rsidRPr="00ED3C77">
        <w:t>p</w:t>
      </w:r>
      <w:r w:rsidR="0058543C" w:rsidRPr="00ED3C77">
        <w:t>rivate/</w:t>
      </w:r>
      <w:r w:rsidRPr="00ED3C77">
        <w:t>c</w:t>
      </w:r>
      <w:r w:rsidR="0058543C" w:rsidRPr="00ED3C77">
        <w:t>ommercial/</w:t>
      </w:r>
      <w:r w:rsidRPr="00ED3C77">
        <w:t>i</w:t>
      </w:r>
      <w:r w:rsidR="0058543C" w:rsidRPr="00ED3C77">
        <w:t xml:space="preserve">ndustrial </w:t>
      </w:r>
      <w:r w:rsidRPr="00ED3C77">
        <w:t>c</w:t>
      </w:r>
      <w:r w:rsidR="0058543C" w:rsidRPr="00ED3C77">
        <w:t>ompanies are not e</w:t>
      </w:r>
      <w:r w:rsidRPr="00ED3C77">
        <w:t>ligible to receive NATO funding</w:t>
      </w:r>
    </w:p>
    <w:p w:rsidR="0058543C" w:rsidRPr="00ED3C77" w:rsidRDefault="0058543C" w:rsidP="008512C6">
      <w:pPr>
        <w:pStyle w:val="Body"/>
        <w:numPr>
          <w:ilvl w:val="0"/>
          <w:numId w:val="9"/>
        </w:numPr>
        <w:spacing w:after="60"/>
        <w:ind w:left="714" w:hanging="357"/>
      </w:pPr>
      <w:r w:rsidRPr="00ED3C77">
        <w:t>integrating partner country researchers into the international research and development community</w:t>
      </w:r>
    </w:p>
    <w:p w:rsidR="0058543C" w:rsidRPr="00ED3C77" w:rsidRDefault="0058543C" w:rsidP="008512C6">
      <w:pPr>
        <w:pStyle w:val="Body"/>
        <w:numPr>
          <w:ilvl w:val="0"/>
          <w:numId w:val="9"/>
        </w:numPr>
        <w:spacing w:after="60"/>
        <w:ind w:left="714" w:hanging="357"/>
      </w:pPr>
      <w:r w:rsidRPr="00ED3C77">
        <w:t>participation of young scientists</w:t>
      </w:r>
    </w:p>
    <w:p w:rsidR="0058543C" w:rsidRPr="00ED3C77" w:rsidRDefault="0058543C" w:rsidP="0058543C">
      <w:pPr>
        <w:pStyle w:val="Body"/>
      </w:pPr>
      <w:r w:rsidRPr="00ED3C77">
        <w:t>SPS project funds may only be used to cover direct project</w:t>
      </w:r>
      <w:r w:rsidR="00952B70" w:rsidRPr="00ED3C77">
        <w:t>-specific</w:t>
      </w:r>
      <w:r w:rsidRPr="00ED3C77">
        <w:t xml:space="preserve"> costs. According to the size of the project and the </w:t>
      </w:r>
      <w:proofErr w:type="gramStart"/>
      <w:r w:rsidRPr="00ED3C77">
        <w:t>financial</w:t>
      </w:r>
      <w:proofErr w:type="gramEnd"/>
      <w:r w:rsidRPr="00ED3C77">
        <w:t xml:space="preserve"> capability of the </w:t>
      </w:r>
      <w:r w:rsidR="00900CE3">
        <w:t>C</w:t>
      </w:r>
      <w:r w:rsidRPr="00ED3C77">
        <w:t>o-</w:t>
      </w:r>
      <w:r w:rsidR="00900CE3">
        <w:t>D</w:t>
      </w:r>
      <w:r w:rsidRPr="00ED3C77">
        <w:t xml:space="preserve">irectors and their institutions, co-funding of some expenses may be expected as part of the grant. In addition, the joint nature of the research should be reflected in the funding allocated to </w:t>
      </w:r>
      <w:r w:rsidR="00900CE3">
        <w:t>Co-Director</w:t>
      </w:r>
      <w:r w:rsidRPr="00ED3C77">
        <w:t xml:space="preserve">s. For details, please refer to </w:t>
      </w:r>
      <w:hyperlink w:anchor="Annex2Funding" w:history="1">
        <w:r w:rsidRPr="00ED3C77">
          <w:rPr>
            <w:rStyle w:val="Hyperlink"/>
            <w:b/>
          </w:rPr>
          <w:t>Annex 2</w:t>
        </w:r>
      </w:hyperlink>
      <w:r w:rsidRPr="00ED3C77">
        <w:t>.</w:t>
      </w:r>
    </w:p>
    <w:p w:rsidR="0058543C" w:rsidRPr="00ED3C77" w:rsidRDefault="0058543C" w:rsidP="00234914">
      <w:pPr>
        <w:pStyle w:val="Heading1"/>
      </w:pPr>
      <w:r w:rsidRPr="00ED3C77">
        <w:t>Who Can Apply?</w:t>
      </w:r>
      <w:bookmarkEnd w:id="3"/>
    </w:p>
    <w:p w:rsidR="0058543C" w:rsidRPr="00ED3C77" w:rsidRDefault="0058543C" w:rsidP="0058543C">
      <w:pPr>
        <w:pStyle w:val="Body"/>
      </w:pPr>
      <w:r w:rsidRPr="00ED3C77">
        <w:t xml:space="preserve">Applications must be submitted jointly by an expert residing and working in a NATO </w:t>
      </w:r>
      <w:r w:rsidR="00ED3C77" w:rsidRPr="00ED3C77">
        <w:t>country</w:t>
      </w:r>
      <w:r w:rsidR="00EA378E" w:rsidRPr="00ED3C77">
        <w:t xml:space="preserve"> </w:t>
      </w:r>
      <w:r w:rsidRPr="00ED3C77">
        <w:t xml:space="preserve">and one residing and working in a NATO partner country. Additional NATO-nation and/or partner-country experts may </w:t>
      </w:r>
      <w:r w:rsidR="00EA378E" w:rsidRPr="00ED3C77">
        <w:t xml:space="preserve">also </w:t>
      </w:r>
      <w:r w:rsidRPr="00ED3C77">
        <w:t>be included in the application.</w:t>
      </w:r>
      <w:r w:rsidR="00EA378E" w:rsidRPr="00ED3C77">
        <w:t xml:space="preserve"> The primary applicant from a NATO country, the </w:t>
      </w:r>
      <w:r w:rsidR="00EA378E" w:rsidRPr="00ED3C77">
        <w:rPr>
          <w:i/>
        </w:rPr>
        <w:t>NATO</w:t>
      </w:r>
      <w:r w:rsidR="00ED3C77" w:rsidRPr="00ED3C77">
        <w:rPr>
          <w:i/>
        </w:rPr>
        <w:t>-</w:t>
      </w:r>
      <w:r w:rsidR="00900CE3">
        <w:rPr>
          <w:i/>
        </w:rPr>
        <w:t>C</w:t>
      </w:r>
      <w:r w:rsidR="00ED3C77" w:rsidRPr="00ED3C77">
        <w:rPr>
          <w:i/>
        </w:rPr>
        <w:t>ountry</w:t>
      </w:r>
      <w:r w:rsidR="00EA378E" w:rsidRPr="00ED3C77">
        <w:rPr>
          <w:i/>
        </w:rPr>
        <w:t xml:space="preserve"> Project Director</w:t>
      </w:r>
      <w:r w:rsidR="00EA378E" w:rsidRPr="00ED3C77">
        <w:t xml:space="preserve"> (NPD), assumes primary financial responsibility for the project. The NPD, along with the primary applicant from the partner country, the </w:t>
      </w:r>
      <w:r w:rsidR="00EA378E" w:rsidRPr="00ED3C77">
        <w:rPr>
          <w:i/>
        </w:rPr>
        <w:t>Partner</w:t>
      </w:r>
      <w:r w:rsidR="00ED3C77" w:rsidRPr="00ED3C77">
        <w:rPr>
          <w:i/>
        </w:rPr>
        <w:t>-</w:t>
      </w:r>
      <w:r w:rsidR="00900CE3">
        <w:rPr>
          <w:i/>
        </w:rPr>
        <w:t>C</w:t>
      </w:r>
      <w:r w:rsidR="00ED3C77" w:rsidRPr="00ED3C77">
        <w:rPr>
          <w:i/>
        </w:rPr>
        <w:t>ountry</w:t>
      </w:r>
      <w:r w:rsidR="00EA378E" w:rsidRPr="00ED3C77">
        <w:rPr>
          <w:i/>
        </w:rPr>
        <w:t xml:space="preserve"> Project Director</w:t>
      </w:r>
      <w:r w:rsidR="00EA378E" w:rsidRPr="00ED3C77">
        <w:t xml:space="preserve"> (</w:t>
      </w:r>
      <w:smartTag w:uri="urn:schemas-microsoft-com:office:smarttags" w:element="stockticker">
        <w:r w:rsidR="00EA378E" w:rsidRPr="00ED3C77">
          <w:t>PPD</w:t>
        </w:r>
      </w:smartTag>
      <w:r w:rsidR="00EA378E" w:rsidRPr="00ED3C77">
        <w:t xml:space="preserve">) are responsible for overall project coordination; other </w:t>
      </w:r>
      <w:r w:rsidR="00ED3C77" w:rsidRPr="00ED3C77">
        <w:t>applicants</w:t>
      </w:r>
      <w:r w:rsidR="00EA378E" w:rsidRPr="00ED3C77">
        <w:t xml:space="preserve"> are referred to as </w:t>
      </w:r>
      <w:r w:rsidR="00900CE3">
        <w:rPr>
          <w:i/>
        </w:rPr>
        <w:t>Co-Director</w:t>
      </w:r>
      <w:r w:rsidR="00EA378E" w:rsidRPr="00ED3C77">
        <w:rPr>
          <w:i/>
        </w:rPr>
        <w:t>s</w:t>
      </w:r>
      <w:r w:rsidR="00EA378E" w:rsidRPr="00ED3C77">
        <w:t>.</w:t>
      </w:r>
      <w:r w:rsidRPr="00ED3C77">
        <w:t xml:space="preserve"> It is recommended that only a single expert per institution/</w:t>
      </w:r>
      <w:proofErr w:type="gramStart"/>
      <w:r w:rsidRPr="00ED3C77">
        <w:t>faculty,</w:t>
      </w:r>
      <w:proofErr w:type="gramEnd"/>
      <w:r w:rsidRPr="00ED3C77">
        <w:t xml:space="preserve"> be included in the application as a </w:t>
      </w:r>
      <w:r w:rsidR="00900CE3">
        <w:t>Co-Director</w:t>
      </w:r>
      <w:r w:rsidRPr="00ED3C77">
        <w:t xml:space="preserve">. Please refer to </w:t>
      </w:r>
      <w:hyperlink w:anchor="Annex3EligibleCountries" w:history="1">
        <w:r w:rsidRPr="00ED3C77">
          <w:rPr>
            <w:rStyle w:val="Hyperlink"/>
            <w:b/>
          </w:rPr>
          <w:t>Annex 3</w:t>
        </w:r>
      </w:hyperlink>
      <w:r w:rsidRPr="00ED3C77">
        <w:t xml:space="preserve"> for a list of eligible NATO and partner countries. </w:t>
      </w:r>
    </w:p>
    <w:p w:rsidR="0058543C" w:rsidRPr="00ED3C77" w:rsidRDefault="0058543C" w:rsidP="00234914">
      <w:pPr>
        <w:pStyle w:val="Heading1"/>
        <w:jc w:val="both"/>
      </w:pPr>
      <w:r w:rsidRPr="00ED3C77">
        <w:lastRenderedPageBreak/>
        <w:t xml:space="preserve">Application </w:t>
      </w:r>
      <w:r w:rsidR="00F63D23">
        <w:t xml:space="preserve">and Review </w:t>
      </w:r>
      <w:r w:rsidRPr="00ED3C77">
        <w:t>Process</w:t>
      </w:r>
    </w:p>
    <w:p w:rsidR="0058543C" w:rsidRPr="00ED3C77" w:rsidRDefault="0058543C" w:rsidP="00952B70">
      <w:pPr>
        <w:pStyle w:val="Heading2"/>
      </w:pPr>
      <w:bookmarkStart w:id="4" w:name="_Toc326767650"/>
      <w:r w:rsidRPr="007802D0">
        <w:t xml:space="preserve">The Project </w:t>
      </w:r>
      <w:bookmarkEnd w:id="4"/>
      <w:r w:rsidR="00877F79" w:rsidRPr="007802D0">
        <w:t>Application</w:t>
      </w:r>
    </w:p>
    <w:p w:rsidR="000B4279" w:rsidRDefault="0058543C" w:rsidP="0058543C">
      <w:pPr>
        <w:pStyle w:val="Body"/>
      </w:pPr>
      <w:r w:rsidRPr="00ED3C77">
        <w:t xml:space="preserve">The </w:t>
      </w:r>
      <w:r w:rsidR="0056389A">
        <w:t>first step in the</w:t>
      </w:r>
      <w:r w:rsidRPr="00ED3C77">
        <w:t xml:space="preserve"> app</w:t>
      </w:r>
      <w:r w:rsidR="00877F79">
        <w:t>lication process is the Project Application</w:t>
      </w:r>
      <w:r w:rsidR="008C2C06">
        <w:t xml:space="preserve">; a template </w:t>
      </w:r>
      <w:r w:rsidR="0056389A">
        <w:t xml:space="preserve">with instructions </w:t>
      </w:r>
      <w:r w:rsidR="008C2C06">
        <w:t xml:space="preserve">can be found </w:t>
      </w:r>
      <w:r w:rsidR="00257746">
        <w:t xml:space="preserve">on the </w:t>
      </w:r>
      <w:hyperlink r:id="rId10" w:history="1">
        <w:r w:rsidR="00257746" w:rsidRPr="00257746">
          <w:rPr>
            <w:rStyle w:val="Hyperlink"/>
          </w:rPr>
          <w:t>SPS website</w:t>
        </w:r>
      </w:hyperlink>
      <w:r w:rsidR="00257746">
        <w:t xml:space="preserve"> in the same location as these guidelines</w:t>
      </w:r>
      <w:r w:rsidRPr="00ED3C77">
        <w:t xml:space="preserve">. </w:t>
      </w:r>
      <w:r w:rsidR="00257746">
        <w:t xml:space="preserve">The Project </w:t>
      </w:r>
      <w:r w:rsidR="00877F79">
        <w:t>Application</w:t>
      </w:r>
      <w:r w:rsidRPr="00ED3C77">
        <w:t xml:space="preserve"> is a short document, a maximum of ten pages plus participants’ CVs. </w:t>
      </w:r>
      <w:r w:rsidR="000B4279">
        <w:t xml:space="preserve">Project </w:t>
      </w:r>
      <w:r w:rsidR="00877F79">
        <w:t>Application</w:t>
      </w:r>
      <w:r w:rsidR="000B4279">
        <w:t>s</w:t>
      </w:r>
      <w:r w:rsidR="00C3382A">
        <w:t xml:space="preserve"> should be submitted to the SPS Programme Office at </w:t>
      </w:r>
      <w:hyperlink r:id="rId11" w:history="1">
        <w:r w:rsidR="00C3382A" w:rsidRPr="001D5493">
          <w:rPr>
            <w:rStyle w:val="Hyperlink"/>
          </w:rPr>
          <w:t>sps.applications@hq.nato.int</w:t>
        </w:r>
      </w:hyperlink>
      <w:r w:rsidR="00C3382A" w:rsidRPr="009A121B">
        <w:t>, in Microsoft Word format if at all possible</w:t>
      </w:r>
      <w:r w:rsidR="00C3382A">
        <w:t xml:space="preserve">. Applications </w:t>
      </w:r>
      <w:r w:rsidR="000B4279">
        <w:t>are reviewed based on the factors outlined above.</w:t>
      </w:r>
      <w:r w:rsidR="00877F79">
        <w:t xml:space="preserve"> </w:t>
      </w:r>
      <w:r w:rsidR="00877F79" w:rsidRPr="0056389A">
        <w:rPr>
          <w:b/>
        </w:rPr>
        <w:t xml:space="preserve">Please submit your </w:t>
      </w:r>
      <w:r w:rsidR="00877F79">
        <w:rPr>
          <w:b/>
        </w:rPr>
        <w:t>A</w:t>
      </w:r>
      <w:r w:rsidR="00877F79" w:rsidRPr="0056389A">
        <w:rPr>
          <w:b/>
        </w:rPr>
        <w:t xml:space="preserve">pplication </w:t>
      </w:r>
      <w:r w:rsidR="00877F79">
        <w:rPr>
          <w:b/>
        </w:rPr>
        <w:t xml:space="preserve">to the SPS office </w:t>
      </w:r>
      <w:r w:rsidR="00877F79" w:rsidRPr="0056389A">
        <w:rPr>
          <w:b/>
        </w:rPr>
        <w:t>following the instructions on the template.</w:t>
      </w:r>
    </w:p>
    <w:p w:rsidR="0058543C" w:rsidRPr="00ED3C77" w:rsidRDefault="0058543C" w:rsidP="0058543C">
      <w:pPr>
        <w:pStyle w:val="Body"/>
      </w:pPr>
      <w:r w:rsidRPr="00ED3C77">
        <w:t xml:space="preserve">Project </w:t>
      </w:r>
      <w:r w:rsidR="00877F79">
        <w:t>Application</w:t>
      </w:r>
      <w:r w:rsidR="00BA04DD">
        <w:t>s</w:t>
      </w:r>
      <w:r w:rsidRPr="00ED3C77">
        <w:t xml:space="preserve"> may be submitted at any time</w:t>
      </w:r>
      <w:r w:rsidR="002F6949">
        <w:t xml:space="preserve"> and will be </w:t>
      </w:r>
      <w:r w:rsidR="00BA04DD">
        <w:t>evaluated twice annually by the Independent Scientific Evaluation Group (ISEG; see below)</w:t>
      </w:r>
      <w:r w:rsidR="00E56CC7">
        <w:t xml:space="preserve"> with deadlines for each cycle posted on the </w:t>
      </w:r>
      <w:hyperlink r:id="rId12" w:history="1">
        <w:r w:rsidR="00E56CC7" w:rsidRPr="00E56CC7">
          <w:rPr>
            <w:rStyle w:val="Hyperlink"/>
          </w:rPr>
          <w:t>SPS website</w:t>
        </w:r>
      </w:hyperlink>
      <w:r w:rsidR="00E56CC7">
        <w:t>.</w:t>
      </w:r>
    </w:p>
    <w:p w:rsidR="0058543C" w:rsidRPr="003752DD" w:rsidRDefault="0058543C" w:rsidP="00952B70">
      <w:pPr>
        <w:pStyle w:val="Heading2"/>
      </w:pPr>
      <w:bookmarkStart w:id="5" w:name="_Toc326767652"/>
      <w:r w:rsidRPr="00A47A11">
        <w:t>The Project Plan</w:t>
      </w:r>
      <w:bookmarkEnd w:id="5"/>
    </w:p>
    <w:p w:rsidR="0058543C" w:rsidRDefault="002F6949" w:rsidP="0058543C">
      <w:pPr>
        <w:pStyle w:val="Body"/>
      </w:pPr>
      <w:r>
        <w:t xml:space="preserve">Applicants whose initial application is favourably reviewed will be invited to submit a </w:t>
      </w:r>
      <w:r w:rsidR="00147FCE" w:rsidRPr="00147FCE">
        <w:rPr>
          <w:i/>
        </w:rPr>
        <w:t>Project Plan</w:t>
      </w:r>
      <w:r w:rsidR="00DE637A">
        <w:t>.</w:t>
      </w:r>
      <w:r>
        <w:t xml:space="preserve"> </w:t>
      </w:r>
      <w:proofErr w:type="gramStart"/>
      <w:r w:rsidR="0058543C" w:rsidRPr="00ED3C77">
        <w:t>describ</w:t>
      </w:r>
      <w:r w:rsidR="00DE637A">
        <w:t>ing</w:t>
      </w:r>
      <w:proofErr w:type="gramEnd"/>
      <w:r w:rsidR="0058543C" w:rsidRPr="00ED3C77">
        <w:t xml:space="preserve"> the purpose and objectives of the project in detail. </w:t>
      </w:r>
      <w:r w:rsidR="00DE637A">
        <w:t>The Project Plan</w:t>
      </w:r>
      <w:r w:rsidR="00DE637A" w:rsidRPr="00ED3C77">
        <w:t xml:space="preserve"> </w:t>
      </w:r>
      <w:r w:rsidR="0058543C" w:rsidRPr="00ED3C77">
        <w:t>details the management and organization</w:t>
      </w:r>
      <w:r w:rsidR="003752DD">
        <w:t xml:space="preserve"> of the project</w:t>
      </w:r>
      <w:r w:rsidR="0058543C" w:rsidRPr="00ED3C77">
        <w:t xml:space="preserve"> and the responsibilities of key personnel</w:t>
      </w:r>
      <w:r w:rsidR="003752DD">
        <w:t>,</w:t>
      </w:r>
      <w:r w:rsidR="0058543C" w:rsidRPr="00ED3C77">
        <w:t xml:space="preserve"> </w:t>
      </w:r>
      <w:r w:rsidR="003752DD">
        <w:t>includes a detailed work plan and</w:t>
      </w:r>
      <w:r w:rsidR="0058543C" w:rsidRPr="00ED3C77">
        <w:t xml:space="preserve"> budget, and</w:t>
      </w:r>
      <w:r w:rsidR="008C2C06">
        <w:t>, if necessary, an</w:t>
      </w:r>
      <w:r w:rsidR="0058543C" w:rsidRPr="00ED3C77">
        <w:t xml:space="preserve"> intellectual property rights (</w:t>
      </w:r>
      <w:smartTag w:uri="urn:schemas-microsoft-com:office:smarttags" w:element="stockticker">
        <w:r w:rsidR="0058543C" w:rsidRPr="00ED3C77">
          <w:t>IPR</w:t>
        </w:r>
      </w:smartTag>
      <w:r w:rsidR="0058543C" w:rsidRPr="00ED3C77">
        <w:t>)</w:t>
      </w:r>
      <w:r w:rsidR="003752DD">
        <w:t xml:space="preserve"> agreement</w:t>
      </w:r>
      <w:r w:rsidR="0058543C" w:rsidRPr="00ED3C77">
        <w:t>.</w:t>
      </w:r>
    </w:p>
    <w:p w:rsidR="000008F8" w:rsidRDefault="000008F8" w:rsidP="000008F8">
      <w:pPr>
        <w:pStyle w:val="Body"/>
      </w:pPr>
      <w:r>
        <w:t xml:space="preserve">The project plan is, in turn, </w:t>
      </w:r>
      <w:r w:rsidR="00DE637A">
        <w:t xml:space="preserve">subject to peer-review </w:t>
      </w:r>
      <w:r>
        <w:t xml:space="preserve">by the </w:t>
      </w:r>
      <w:r w:rsidR="00DE637A">
        <w:t>Independent Scientific Evaluation Group (</w:t>
      </w:r>
      <w:r>
        <w:t>ISEG</w:t>
      </w:r>
      <w:r w:rsidR="00DE637A">
        <w:t>) convened by NATO</w:t>
      </w:r>
      <w:r>
        <w:t>.</w:t>
      </w:r>
    </w:p>
    <w:p w:rsidR="000B4279" w:rsidRDefault="000B4279" w:rsidP="000B4279">
      <w:pPr>
        <w:pStyle w:val="Heading2"/>
      </w:pPr>
      <w:r>
        <w:t>Final Approval</w:t>
      </w:r>
    </w:p>
    <w:p w:rsidR="000B4279" w:rsidRDefault="000B4279" w:rsidP="000008F8">
      <w:pPr>
        <w:pStyle w:val="Body"/>
      </w:pPr>
      <w:r>
        <w:t xml:space="preserve">Project plans recommended by the ISEG will be considered by NATO which makes a final decision </w:t>
      </w:r>
      <w:r w:rsidR="008C2C06">
        <w:t>to fund or reject the project.</w:t>
      </w:r>
    </w:p>
    <w:p w:rsidR="00F0070A" w:rsidRDefault="00F0070A" w:rsidP="000008F8">
      <w:pPr>
        <w:pStyle w:val="Heading2"/>
      </w:pPr>
      <w:r>
        <w:t>Timing</w:t>
      </w:r>
    </w:p>
    <w:p w:rsidR="00F0070A" w:rsidRDefault="00F0070A" w:rsidP="0058543C">
      <w:pPr>
        <w:pStyle w:val="Body"/>
      </w:pPr>
      <w:r>
        <w:t>The overall process for a successful application, from initial submission deadline through planning gran</w:t>
      </w:r>
      <w:r w:rsidR="00453B3B">
        <w:t>t</w:t>
      </w:r>
      <w:r>
        <w:t xml:space="preserve"> and project plan to funded project can take </w:t>
      </w:r>
      <w:r w:rsidR="00374AA9">
        <w:t>eight</w:t>
      </w:r>
      <w:r w:rsidR="00DE637A">
        <w:t xml:space="preserve"> </w:t>
      </w:r>
      <w:r>
        <w:t>or more months. Please plan your research and staffing accordingly.</w:t>
      </w:r>
    </w:p>
    <w:p w:rsidR="00B32E0C" w:rsidRPr="00ED3C77" w:rsidRDefault="00B32E0C" w:rsidP="0058543C">
      <w:pPr>
        <w:pStyle w:val="Body"/>
      </w:pPr>
      <w:r w:rsidRPr="00341BD2">
        <w:t xml:space="preserve">Applicants should note that they cannot have </w:t>
      </w:r>
      <w:r>
        <w:t>more than one</w:t>
      </w:r>
      <w:r w:rsidRPr="00341BD2">
        <w:t xml:space="preserve"> SPS </w:t>
      </w:r>
      <w:r>
        <w:t>activity running simultaneously. They</w:t>
      </w:r>
      <w:r w:rsidRPr="00341BD2">
        <w:t xml:space="preserve"> should ensure that </w:t>
      </w:r>
      <w:r>
        <w:t>the</w:t>
      </w:r>
      <w:r w:rsidRPr="00341BD2">
        <w:t xml:space="preserve"> file on any previous SPS activity directed </w:t>
      </w:r>
      <w:r w:rsidR="0040544E">
        <w:t xml:space="preserve">by </w:t>
      </w:r>
      <w:r w:rsidR="00706AA7">
        <w:t>any of them</w:t>
      </w:r>
      <w:r w:rsidRPr="00341BD2">
        <w:t xml:space="preserve"> is closed before applying to direct another.</w:t>
      </w:r>
    </w:p>
    <w:p w:rsidR="0058543C" w:rsidRPr="00ED3C77" w:rsidRDefault="0058543C" w:rsidP="00234914">
      <w:pPr>
        <w:pStyle w:val="Heading1"/>
        <w:jc w:val="both"/>
      </w:pPr>
      <w:bookmarkStart w:id="6" w:name="_Toc326767654"/>
      <w:r w:rsidRPr="00ED3C77">
        <w:t>Project Management</w:t>
      </w:r>
      <w:bookmarkEnd w:id="6"/>
    </w:p>
    <w:p w:rsidR="0058543C" w:rsidRPr="00ED3C77" w:rsidRDefault="0058543C" w:rsidP="0058543C">
      <w:pPr>
        <w:pStyle w:val="Body"/>
      </w:pPr>
      <w:r w:rsidRPr="00ED3C77">
        <w:t xml:space="preserve">When a project is approved by NATO, </w:t>
      </w:r>
      <w:r w:rsidR="00096E7A">
        <w:t xml:space="preserve">funds </w:t>
      </w:r>
      <w:r w:rsidRPr="00ED3C77">
        <w:t>sufficient to carry the project through the first six to twelve months</w:t>
      </w:r>
      <w:r w:rsidR="00096E7A">
        <w:t xml:space="preserve"> are awarded</w:t>
      </w:r>
      <w:r w:rsidRPr="00ED3C77">
        <w:t xml:space="preserve">. The grant may contain additional conditions for the project, as recommended by the ISEG or by NATO. All parties must sign the grant letter which, together with the project plan, forms a contract between NATO and the </w:t>
      </w:r>
      <w:r w:rsidR="00900CE3">
        <w:t>Co-Director</w:t>
      </w:r>
      <w:r w:rsidRPr="00ED3C77">
        <w:t xml:space="preserve">s. </w:t>
      </w:r>
      <w:r w:rsidR="00096E7A" w:rsidRPr="00ED3C77">
        <w:t>Periodically</w:t>
      </w:r>
      <w:r w:rsidR="00096E7A">
        <w:t xml:space="preserve"> throughout the course of the project</w:t>
      </w:r>
      <w:r w:rsidR="00096E7A" w:rsidRPr="00ED3C77">
        <w:t xml:space="preserve">, NATO </w:t>
      </w:r>
      <w:r w:rsidR="00096E7A">
        <w:t xml:space="preserve">award additional funds </w:t>
      </w:r>
      <w:r w:rsidR="00096E7A" w:rsidRPr="00ED3C77">
        <w:t>to the project</w:t>
      </w:r>
      <w:r w:rsidR="00096E7A" w:rsidRPr="00096E7A">
        <w:t xml:space="preserve"> </w:t>
      </w:r>
      <w:r w:rsidR="00096E7A">
        <w:t>in accordance with the project plan budget</w:t>
      </w:r>
      <w:r w:rsidR="00096E7A" w:rsidRPr="00ED3C77">
        <w:t>,</w:t>
      </w:r>
      <w:r w:rsidR="00096E7A">
        <w:t xml:space="preserve"> subject to acceptable project progress and </w:t>
      </w:r>
      <w:r w:rsidR="00096E7A" w:rsidRPr="00ED3C77">
        <w:t>documentation</w:t>
      </w:r>
      <w:r w:rsidR="00096E7A">
        <w:t>, as well as NATO budget allocations</w:t>
      </w:r>
      <w:r w:rsidR="00096E7A" w:rsidRPr="00ED3C77">
        <w:t xml:space="preserve">. </w:t>
      </w:r>
      <w:r w:rsidRPr="00ED3C77">
        <w:t xml:space="preserve">It is important to note that, although the grant is made jointly to all </w:t>
      </w:r>
      <w:r w:rsidR="00900CE3">
        <w:t>Co-Director</w:t>
      </w:r>
      <w:r w:rsidRPr="00ED3C77">
        <w:t>s, the NPD remains responsible for</w:t>
      </w:r>
      <w:r w:rsidR="00096E7A">
        <w:t xml:space="preserve"> the management of NATO funds.</w:t>
      </w:r>
    </w:p>
    <w:p w:rsidR="0058543C" w:rsidRPr="00ED3C77" w:rsidRDefault="0058543C" w:rsidP="0058543C">
      <w:pPr>
        <w:pStyle w:val="Body"/>
      </w:pPr>
      <w:r w:rsidRPr="00ED3C77">
        <w:t xml:space="preserve">These and other management details are covered in the </w:t>
      </w:r>
      <w:r w:rsidRPr="00ED3C77">
        <w:rPr>
          <w:i/>
        </w:rPr>
        <w:t>Science for Peace and Security Project Management Handbook</w:t>
      </w:r>
      <w:r w:rsidRPr="00ED3C77">
        <w:t xml:space="preserve"> available on the </w:t>
      </w:r>
      <w:hyperlink r:id="rId13" w:history="1">
        <w:r w:rsidRPr="00096E7A">
          <w:rPr>
            <w:rStyle w:val="Hyperlink"/>
          </w:rPr>
          <w:t>SPS website</w:t>
        </w:r>
      </w:hyperlink>
      <w:r w:rsidRPr="00ED3C77">
        <w:t>.</w:t>
      </w:r>
    </w:p>
    <w:p w:rsidR="003002B1" w:rsidRDefault="003002B1" w:rsidP="003002B1">
      <w:pPr>
        <w:pStyle w:val="Heading1"/>
      </w:pPr>
      <w:r>
        <w:t>List of Annexes</w:t>
      </w:r>
    </w:p>
    <w:p w:rsidR="003002B1" w:rsidRDefault="003002B1" w:rsidP="008512C6">
      <w:pPr>
        <w:pStyle w:val="Body"/>
        <w:numPr>
          <w:ilvl w:val="0"/>
          <w:numId w:val="10"/>
        </w:numPr>
        <w:tabs>
          <w:tab w:val="clear" w:pos="720"/>
          <w:tab w:val="num" w:pos="1418"/>
        </w:tabs>
        <w:spacing w:after="0"/>
      </w:pPr>
      <w:r>
        <w:t>SPS Key Priorities</w:t>
      </w:r>
    </w:p>
    <w:p w:rsidR="003002B1" w:rsidRDefault="003002B1" w:rsidP="008512C6">
      <w:pPr>
        <w:pStyle w:val="Body"/>
        <w:numPr>
          <w:ilvl w:val="0"/>
          <w:numId w:val="10"/>
        </w:numPr>
        <w:tabs>
          <w:tab w:val="clear" w:pos="720"/>
          <w:tab w:val="num" w:pos="1418"/>
        </w:tabs>
        <w:spacing w:after="0"/>
      </w:pPr>
      <w:r>
        <w:t>Funding</w:t>
      </w:r>
    </w:p>
    <w:p w:rsidR="003002B1" w:rsidRDefault="00CE5A91" w:rsidP="008512C6">
      <w:pPr>
        <w:pStyle w:val="Body"/>
        <w:numPr>
          <w:ilvl w:val="0"/>
          <w:numId w:val="10"/>
        </w:numPr>
        <w:tabs>
          <w:tab w:val="clear" w:pos="720"/>
          <w:tab w:val="num" w:pos="1418"/>
        </w:tabs>
        <w:spacing w:after="0"/>
      </w:pPr>
      <w:r>
        <w:t>Definitions</w:t>
      </w:r>
    </w:p>
    <w:p w:rsidR="00783DC7" w:rsidRPr="003002B1" w:rsidRDefault="00783DC7" w:rsidP="00783DC7">
      <w:pPr>
        <w:pStyle w:val="Body"/>
        <w:spacing w:after="0"/>
        <w:jc w:val="left"/>
        <w:sectPr w:rsidR="00783DC7" w:rsidRPr="003002B1" w:rsidSect="00092F5C">
          <w:headerReference w:type="even" r:id="rId14"/>
          <w:headerReference w:type="default" r:id="rId15"/>
          <w:footerReference w:type="even" r:id="rId16"/>
          <w:footerReference w:type="default" r:id="rId17"/>
          <w:headerReference w:type="first" r:id="rId18"/>
          <w:footerReference w:type="first" r:id="rId19"/>
          <w:footnotePr>
            <w:numFmt w:val="chicago"/>
            <w:numRestart w:val="eachPage"/>
          </w:footnotePr>
          <w:pgSz w:w="12240" w:h="15840" w:code="1"/>
          <w:pgMar w:top="340" w:right="907" w:bottom="340" w:left="907" w:header="720" w:footer="720" w:gutter="0"/>
          <w:cols w:space="720"/>
          <w:titlePg/>
        </w:sectPr>
      </w:pPr>
    </w:p>
    <w:tbl>
      <w:tblPr>
        <w:tblW w:w="0" w:type="auto"/>
        <w:tblInd w:w="108" w:type="dxa"/>
        <w:tblBorders>
          <w:bottom w:val="single" w:sz="4" w:space="0" w:color="auto"/>
        </w:tblBorders>
        <w:tblLayout w:type="fixed"/>
        <w:tblCellMar>
          <w:bottom w:w="142" w:type="dxa"/>
        </w:tblCellMar>
        <w:tblLook w:val="0000"/>
      </w:tblPr>
      <w:tblGrid>
        <w:gridCol w:w="993"/>
        <w:gridCol w:w="9355"/>
      </w:tblGrid>
      <w:tr w:rsidR="000A5DB2" w:rsidRPr="00ED3C77">
        <w:trPr>
          <w:trHeight w:val="1881"/>
        </w:trPr>
        <w:tc>
          <w:tcPr>
            <w:tcW w:w="993" w:type="dxa"/>
            <w:vAlign w:val="center"/>
          </w:tcPr>
          <w:p w:rsidR="000A5DB2" w:rsidRPr="00ED3C77" w:rsidRDefault="000A15BE" w:rsidP="00E33755">
            <w:pPr>
              <w:jc w:val="center"/>
              <w:rPr>
                <w:b/>
                <w:bCs/>
              </w:rPr>
            </w:pPr>
            <w:bookmarkStart w:id="7" w:name="Annex1KeyPriorities"/>
            <w:bookmarkEnd w:id="7"/>
            <w:r>
              <w:rPr>
                <w:b/>
                <w:bCs/>
                <w:noProof/>
                <w:lang w:val="en-US"/>
              </w:rPr>
              <w:drawing>
                <wp:inline distT="0" distB="0" distL="0" distR="0">
                  <wp:extent cx="581025" cy="11620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0A5DB2" w:rsidRPr="00ED3C77" w:rsidRDefault="000A5DB2" w:rsidP="000A5DB2">
            <w:pPr>
              <w:spacing w:after="120"/>
              <w:jc w:val="center"/>
              <w:rPr>
                <w:b/>
                <w:bCs/>
                <w:color w:val="3487C8"/>
                <w:sz w:val="22"/>
                <w:szCs w:val="22"/>
              </w:rPr>
            </w:pPr>
            <w:r w:rsidRPr="00ED3C77">
              <w:rPr>
                <w:b/>
                <w:bCs/>
                <w:color w:val="3487C8"/>
                <w:sz w:val="22"/>
                <w:szCs w:val="22"/>
              </w:rPr>
              <w:t>Emerging Security Challenges Division</w:t>
            </w:r>
          </w:p>
          <w:p w:rsidR="000A5DB2" w:rsidRPr="00ED3C77" w:rsidRDefault="000A5DB2" w:rsidP="000A5DB2">
            <w:pPr>
              <w:spacing w:after="200"/>
              <w:jc w:val="center"/>
              <w:rPr>
                <w:b/>
                <w:bCs/>
                <w:color w:val="3487C8"/>
                <w:sz w:val="28"/>
                <w:szCs w:val="28"/>
              </w:rPr>
            </w:pPr>
            <w:r w:rsidRPr="00ED3C77">
              <w:rPr>
                <w:b/>
                <w:bCs/>
                <w:color w:val="3487C8"/>
                <w:sz w:val="28"/>
                <w:szCs w:val="28"/>
              </w:rPr>
              <w:t>Science for Peace and Security Programme</w:t>
            </w:r>
          </w:p>
          <w:p w:rsidR="000A5DB2" w:rsidRPr="00F07247" w:rsidRDefault="000A5DB2" w:rsidP="000A5DB2">
            <w:pPr>
              <w:spacing w:after="200"/>
              <w:jc w:val="center"/>
              <w:rPr>
                <w:rFonts w:ascii="Arial" w:hAnsi="Arial" w:cs="Arial"/>
                <w:b/>
                <w:bCs/>
                <w:color w:val="00408B"/>
                <w:sz w:val="28"/>
                <w:szCs w:val="28"/>
              </w:rPr>
            </w:pPr>
            <w:r w:rsidRPr="00F07247">
              <w:rPr>
                <w:rFonts w:ascii="Arial" w:hAnsi="Arial" w:cs="Arial"/>
                <w:b/>
                <w:bCs/>
                <w:color w:val="00408B"/>
                <w:sz w:val="28"/>
                <w:szCs w:val="28"/>
              </w:rPr>
              <w:t>Gu</w:t>
            </w:r>
            <w:r w:rsidR="00F07247">
              <w:rPr>
                <w:rFonts w:ascii="Arial" w:hAnsi="Arial" w:cs="Arial"/>
                <w:b/>
                <w:bCs/>
                <w:color w:val="00408B"/>
                <w:sz w:val="28"/>
                <w:szCs w:val="28"/>
              </w:rPr>
              <w:t>idelines for Applicants</w:t>
            </w:r>
            <w:r w:rsidRPr="00F07247">
              <w:rPr>
                <w:rFonts w:ascii="Arial" w:hAnsi="Arial" w:cs="Arial"/>
                <w:b/>
                <w:bCs/>
                <w:color w:val="00408B"/>
                <w:sz w:val="28"/>
                <w:szCs w:val="28"/>
              </w:rPr>
              <w:br/>
              <w:t>ANNEX 1: SPS Key Priorities</w:t>
            </w:r>
          </w:p>
          <w:p w:rsidR="000A5DB2" w:rsidRPr="00ED3C77" w:rsidRDefault="000A5DB2" w:rsidP="000A5DB2">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9543F7" w:rsidRPr="000A5DB2" w:rsidRDefault="009543F7" w:rsidP="000A5DB2">
      <w:pPr>
        <w:spacing w:before="240" w:after="60"/>
        <w:jc w:val="both"/>
        <w:rPr>
          <w:rFonts w:ascii="Arial" w:hAnsi="Arial" w:cs="Arial"/>
          <w:sz w:val="20"/>
        </w:rPr>
      </w:pPr>
      <w:r w:rsidRPr="000A5DB2">
        <w:rPr>
          <w:rFonts w:ascii="Arial" w:hAnsi="Arial" w:cs="Arial"/>
          <w:sz w:val="20"/>
        </w:rPr>
        <w:t xml:space="preserve">All activities funded under the SPS Programme must </w:t>
      </w:r>
      <w:r w:rsidR="002164A2" w:rsidRPr="000A5DB2">
        <w:rPr>
          <w:rFonts w:ascii="Arial" w:hAnsi="Arial" w:cs="Arial"/>
          <w:sz w:val="20"/>
        </w:rPr>
        <w:t>address</w:t>
      </w:r>
      <w:r w:rsidRPr="000A5DB2">
        <w:rPr>
          <w:rFonts w:ascii="Arial" w:hAnsi="Arial" w:cs="Arial"/>
          <w:sz w:val="20"/>
        </w:rPr>
        <w:t xml:space="preserve"> the SPS Key Priorities listed below and must have a clear link to security and to NATO’s strategic objectives.</w:t>
      </w:r>
    </w:p>
    <w:p w:rsidR="009543F7" w:rsidRPr="000A5DB2" w:rsidRDefault="009543F7" w:rsidP="008512C6">
      <w:pPr>
        <w:numPr>
          <w:ilvl w:val="0"/>
          <w:numId w:val="8"/>
        </w:numPr>
        <w:jc w:val="both"/>
        <w:rPr>
          <w:rFonts w:ascii="Arial" w:hAnsi="Arial" w:cs="Arial"/>
          <w:b/>
          <w:sz w:val="20"/>
        </w:rPr>
      </w:pPr>
      <w:r w:rsidRPr="000A5DB2">
        <w:rPr>
          <w:rFonts w:ascii="Arial" w:hAnsi="Arial" w:cs="Arial"/>
          <w:b/>
          <w:sz w:val="20"/>
        </w:rPr>
        <w:t>Facilitate mutually beneficial cooperation on issues of common interest, including international efforts to meet emerging security challenges</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Counter-Terrorism</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Methods for the protection of critical infrastructure, supplies and personnel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Human factors in the defence against terrorism</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Detection technologies against the terrorist threat for explosive devices and other illicit activities</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Risk management, best practices and technologies in response to terrorism.</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Energy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Innovative energy solutions for the military; battlefield energy solutions; renewable energy solutions with military applications;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Energy infrastructure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Maritime aspects of energy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Technological aspects of energy security.</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Cyber Defence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Critical infrastructure protection, including sharing of best practices, capacity building and policies;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Support in developing cyber defence capabilities, including new technologies and support to the construction of information technology infrastructure;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Cyber defence situation awareness.</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Defence against CBRN Agents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Methods and technology regarding the protection against, diagnosing effects, detection, decontamination, destruction, disposal and containment of CBRN agents;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Risk management and recovery strategies and technologies;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Medical countermeasures against CBRN agents. </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Environmental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Security issues arising from key environmental and resource constraints, including health risks, climate change, water scarcity and increasing energy needs, which have the potential to significantly affect NATO’s planning and operations;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Disaster forecast and prevention of natural catastrophes;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Defence-related environmental issues. </w:t>
      </w:r>
    </w:p>
    <w:p w:rsidR="009543F7" w:rsidRPr="000A5DB2" w:rsidRDefault="009543F7" w:rsidP="008512C6">
      <w:pPr>
        <w:numPr>
          <w:ilvl w:val="0"/>
          <w:numId w:val="8"/>
        </w:numPr>
        <w:jc w:val="both"/>
        <w:rPr>
          <w:rFonts w:ascii="Arial" w:hAnsi="Arial" w:cs="Arial"/>
          <w:b/>
          <w:sz w:val="20"/>
        </w:rPr>
      </w:pPr>
      <w:r w:rsidRPr="000A5DB2">
        <w:rPr>
          <w:rFonts w:ascii="Arial" w:hAnsi="Arial" w:cs="Arial"/>
          <w:b/>
          <w:sz w:val="20"/>
        </w:rPr>
        <w:t xml:space="preserve">Enhance support for NATO-led operations and missions </w:t>
      </w:r>
    </w:p>
    <w:p w:rsidR="009543F7" w:rsidRPr="000A5DB2" w:rsidRDefault="009543F7" w:rsidP="008512C6">
      <w:pPr>
        <w:numPr>
          <w:ilvl w:val="1"/>
          <w:numId w:val="8"/>
        </w:numPr>
        <w:jc w:val="both"/>
        <w:rPr>
          <w:rFonts w:ascii="Arial" w:hAnsi="Arial" w:cs="Arial"/>
          <w:sz w:val="20"/>
        </w:rPr>
      </w:pPr>
      <w:r w:rsidRPr="000A5DB2">
        <w:rPr>
          <w:rFonts w:ascii="Arial" w:hAnsi="Arial" w:cs="Arial"/>
          <w:sz w:val="20"/>
        </w:rPr>
        <w:t xml:space="preserve">Provision of civilian support through SPS Key Priorities; </w:t>
      </w:r>
    </w:p>
    <w:p w:rsidR="009543F7" w:rsidRPr="000A5DB2" w:rsidRDefault="009543F7" w:rsidP="008512C6">
      <w:pPr>
        <w:numPr>
          <w:ilvl w:val="1"/>
          <w:numId w:val="8"/>
        </w:numPr>
        <w:jc w:val="both"/>
        <w:rPr>
          <w:rFonts w:ascii="Arial" w:hAnsi="Arial" w:cs="Arial"/>
          <w:sz w:val="20"/>
        </w:rPr>
      </w:pPr>
      <w:r w:rsidRPr="000A5DB2">
        <w:rPr>
          <w:rFonts w:ascii="Arial" w:hAnsi="Arial" w:cs="Arial"/>
          <w:sz w:val="20"/>
        </w:rPr>
        <w:t xml:space="preserve">Provision of access to information through internet connectivity as in the SILK-Afghanistan Programme; </w:t>
      </w:r>
    </w:p>
    <w:p w:rsidR="009543F7" w:rsidRPr="000A5DB2" w:rsidRDefault="009543F7" w:rsidP="008512C6">
      <w:pPr>
        <w:numPr>
          <w:ilvl w:val="1"/>
          <w:numId w:val="8"/>
        </w:numPr>
        <w:jc w:val="both"/>
        <w:rPr>
          <w:rFonts w:ascii="Arial" w:hAnsi="Arial" w:cs="Arial"/>
          <w:sz w:val="20"/>
        </w:rPr>
      </w:pPr>
      <w:r w:rsidRPr="000A5DB2">
        <w:rPr>
          <w:rFonts w:ascii="Arial" w:hAnsi="Arial" w:cs="Arial"/>
          <w:sz w:val="20"/>
        </w:rPr>
        <w:t xml:space="preserve">Cultural and social aspects in military operations and missions; </w:t>
      </w:r>
    </w:p>
    <w:p w:rsidR="009543F7" w:rsidRPr="000A5DB2" w:rsidRDefault="009543F7" w:rsidP="008512C6">
      <w:pPr>
        <w:numPr>
          <w:ilvl w:val="1"/>
          <w:numId w:val="8"/>
        </w:numPr>
        <w:jc w:val="both"/>
        <w:rPr>
          <w:rFonts w:ascii="Arial" w:hAnsi="Arial" w:cs="Arial"/>
          <w:sz w:val="20"/>
        </w:rPr>
      </w:pPr>
      <w:r w:rsidRPr="000A5DB2">
        <w:rPr>
          <w:rFonts w:ascii="Arial" w:hAnsi="Arial" w:cs="Arial"/>
          <w:sz w:val="20"/>
        </w:rPr>
        <w:t>Enhancing cooperation with other international actors.</w:t>
      </w:r>
    </w:p>
    <w:p w:rsidR="009543F7" w:rsidRPr="000A5DB2" w:rsidRDefault="009543F7" w:rsidP="008512C6">
      <w:pPr>
        <w:numPr>
          <w:ilvl w:val="0"/>
          <w:numId w:val="8"/>
        </w:numPr>
        <w:jc w:val="both"/>
        <w:rPr>
          <w:rFonts w:ascii="Arial" w:hAnsi="Arial" w:cs="Arial"/>
          <w:b/>
          <w:sz w:val="20"/>
        </w:rPr>
      </w:pPr>
      <w:r w:rsidRPr="000A5DB2">
        <w:rPr>
          <w:rFonts w:ascii="Arial" w:hAnsi="Arial" w:cs="Arial"/>
          <w:b/>
          <w:sz w:val="20"/>
        </w:rPr>
        <w:t xml:space="preserve">Enhance awareness on security developments including through early warning, with a view to preventing crises </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Security-related Advanced Technology:</w:t>
      </w:r>
    </w:p>
    <w:p w:rsidR="009543F7" w:rsidRPr="000A5DB2" w:rsidRDefault="009543F7" w:rsidP="00234914">
      <w:pPr>
        <w:ind w:left="720"/>
        <w:jc w:val="both"/>
        <w:rPr>
          <w:rFonts w:ascii="Arial" w:hAnsi="Arial" w:cs="Arial"/>
          <w:sz w:val="20"/>
        </w:rPr>
      </w:pPr>
      <w:proofErr w:type="gramStart"/>
      <w:r w:rsidRPr="000A5DB2">
        <w:rPr>
          <w:rFonts w:ascii="Arial" w:hAnsi="Arial" w:cs="Arial"/>
          <w:sz w:val="20"/>
        </w:rPr>
        <w:t>Emerging technologies including nanotechnology, optical technology, micro satellites, metallurgy and the development of UAV platforms.</w:t>
      </w:r>
      <w:proofErr w:type="gramEnd"/>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Border and Port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Border and port security technology;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Cross border communication systems and data fusion;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Expert advice and assessments of border security needs and best practice. </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Mine and Unexploded Ordnance Detection and Clearance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Development and provision of advanced technologies, methodologies and best practice;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Solutions to counter improvised explosive devices (IED).</w:t>
      </w:r>
    </w:p>
    <w:p w:rsidR="00A722D5" w:rsidRDefault="005664EE">
      <w:pPr>
        <w:numPr>
          <w:ilvl w:val="1"/>
          <w:numId w:val="8"/>
        </w:numPr>
        <w:jc w:val="both"/>
        <w:rPr>
          <w:rFonts w:ascii="Arial" w:hAnsi="Arial" w:cs="Arial"/>
          <w:sz w:val="20"/>
        </w:rPr>
      </w:pPr>
      <w:r w:rsidRPr="005664EE">
        <w:rPr>
          <w:rFonts w:ascii="Arial" w:hAnsi="Arial" w:cs="Arial"/>
          <w:sz w:val="20"/>
        </w:rPr>
        <w:t xml:space="preserve">Human and Social Aspects of Security related to NATO’s strategic objectives </w:t>
      </w:r>
    </w:p>
    <w:p w:rsidR="009543F7" w:rsidRPr="000A5DB2" w:rsidRDefault="009543F7" w:rsidP="008512C6">
      <w:pPr>
        <w:numPr>
          <w:ilvl w:val="0"/>
          <w:numId w:val="8"/>
        </w:numPr>
        <w:jc w:val="both"/>
        <w:rPr>
          <w:rFonts w:ascii="Arial" w:hAnsi="Arial" w:cs="Arial"/>
          <w:b/>
          <w:sz w:val="20"/>
        </w:rPr>
      </w:pPr>
      <w:r w:rsidRPr="000A5DB2">
        <w:rPr>
          <w:rFonts w:ascii="Arial" w:hAnsi="Arial" w:cs="Arial"/>
          <w:b/>
          <w:sz w:val="20"/>
        </w:rPr>
        <w:t>Any project related clearly linked to a threat to security not otherwise defined in these priorities may also be considered for funding under the SPS Programme. Such proposals will be examined for links to NATO’s Strategic Objectives.</w:t>
      </w:r>
    </w:p>
    <w:p w:rsidR="009543F7" w:rsidRPr="00ED3C77" w:rsidRDefault="009543F7" w:rsidP="00234914">
      <w:pPr>
        <w:spacing w:after="120"/>
        <w:jc w:val="center"/>
        <w:rPr>
          <w:b/>
          <w:bCs/>
          <w:color w:val="3487C8"/>
          <w:sz w:val="22"/>
          <w:szCs w:val="22"/>
        </w:rPr>
        <w:sectPr w:rsidR="009543F7" w:rsidRPr="00ED3C77" w:rsidSect="00092F5C">
          <w:footnotePr>
            <w:numFmt w:val="chicago"/>
            <w:numRestart w:val="eachPage"/>
          </w:footnotePr>
          <w:pgSz w:w="12240" w:h="15840" w:code="1"/>
          <w:pgMar w:top="340" w:right="907" w:bottom="340" w:left="907" w:header="720" w:footer="720" w:gutter="0"/>
          <w:cols w:space="720"/>
          <w:titlePg/>
        </w:sectPr>
      </w:pPr>
    </w:p>
    <w:tbl>
      <w:tblPr>
        <w:tblW w:w="0" w:type="auto"/>
        <w:tblInd w:w="108" w:type="dxa"/>
        <w:tblBorders>
          <w:bottom w:val="single" w:sz="4" w:space="0" w:color="auto"/>
        </w:tblBorders>
        <w:tblLayout w:type="fixed"/>
        <w:tblCellMar>
          <w:bottom w:w="142" w:type="dxa"/>
        </w:tblCellMar>
        <w:tblLook w:val="0000"/>
      </w:tblPr>
      <w:tblGrid>
        <w:gridCol w:w="993"/>
        <w:gridCol w:w="9355"/>
      </w:tblGrid>
      <w:tr w:rsidR="000A5DB2" w:rsidRPr="00ED3C77">
        <w:trPr>
          <w:trHeight w:val="1881"/>
        </w:trPr>
        <w:tc>
          <w:tcPr>
            <w:tcW w:w="993" w:type="dxa"/>
            <w:vAlign w:val="center"/>
          </w:tcPr>
          <w:p w:rsidR="000A5DB2" w:rsidRPr="00ED3C77" w:rsidRDefault="000A15BE" w:rsidP="00E33755">
            <w:pPr>
              <w:jc w:val="center"/>
              <w:rPr>
                <w:b/>
                <w:bCs/>
              </w:rPr>
            </w:pPr>
            <w:bookmarkStart w:id="8" w:name="Annex2Funding"/>
            <w:bookmarkEnd w:id="8"/>
            <w:r>
              <w:rPr>
                <w:b/>
                <w:bCs/>
                <w:noProof/>
                <w:lang w:val="en-US"/>
              </w:rPr>
              <w:drawing>
                <wp:inline distT="0" distB="0" distL="0" distR="0">
                  <wp:extent cx="581025" cy="1162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0A5DB2" w:rsidRPr="00ED3C77" w:rsidRDefault="000A5DB2" w:rsidP="000A5DB2">
            <w:pPr>
              <w:spacing w:after="120"/>
              <w:jc w:val="center"/>
              <w:rPr>
                <w:b/>
                <w:bCs/>
                <w:color w:val="3487C8"/>
                <w:sz w:val="22"/>
                <w:szCs w:val="22"/>
              </w:rPr>
            </w:pPr>
            <w:r w:rsidRPr="00ED3C77">
              <w:rPr>
                <w:b/>
                <w:bCs/>
                <w:color w:val="3487C8"/>
                <w:sz w:val="22"/>
                <w:szCs w:val="22"/>
              </w:rPr>
              <w:t>Emerging Security Challenges Division</w:t>
            </w:r>
          </w:p>
          <w:p w:rsidR="000A5DB2" w:rsidRPr="00ED3C77" w:rsidRDefault="000A5DB2" w:rsidP="000A5DB2">
            <w:pPr>
              <w:spacing w:after="200"/>
              <w:jc w:val="center"/>
              <w:rPr>
                <w:b/>
                <w:bCs/>
                <w:color w:val="3487C8"/>
                <w:sz w:val="28"/>
                <w:szCs w:val="28"/>
              </w:rPr>
            </w:pPr>
            <w:r w:rsidRPr="00ED3C77">
              <w:rPr>
                <w:b/>
                <w:bCs/>
                <w:color w:val="3487C8"/>
                <w:sz w:val="28"/>
                <w:szCs w:val="28"/>
              </w:rPr>
              <w:t>Science for Peace and Security Programme</w:t>
            </w:r>
          </w:p>
          <w:p w:rsidR="000A5DB2" w:rsidRPr="00F07247" w:rsidRDefault="000A5DB2" w:rsidP="000A5DB2">
            <w:pPr>
              <w:spacing w:after="200"/>
              <w:jc w:val="center"/>
              <w:rPr>
                <w:rFonts w:ascii="Arial" w:hAnsi="Arial" w:cs="Arial"/>
                <w:b/>
                <w:bCs/>
                <w:color w:val="00408B"/>
                <w:sz w:val="28"/>
                <w:szCs w:val="28"/>
              </w:rPr>
            </w:pPr>
            <w:r w:rsidRPr="00F07247">
              <w:rPr>
                <w:rFonts w:ascii="Arial" w:hAnsi="Arial" w:cs="Arial"/>
                <w:b/>
                <w:bCs/>
                <w:color w:val="00408B"/>
                <w:sz w:val="28"/>
                <w:szCs w:val="28"/>
              </w:rPr>
              <w:t>Gu</w:t>
            </w:r>
            <w:r w:rsidR="00F07247">
              <w:rPr>
                <w:rFonts w:ascii="Arial" w:hAnsi="Arial" w:cs="Arial"/>
                <w:b/>
                <w:bCs/>
                <w:color w:val="00408B"/>
                <w:sz w:val="28"/>
                <w:szCs w:val="28"/>
              </w:rPr>
              <w:t>idelines for Applicants</w:t>
            </w:r>
            <w:r w:rsidRPr="00F07247">
              <w:rPr>
                <w:rFonts w:ascii="Arial" w:hAnsi="Arial" w:cs="Arial"/>
                <w:b/>
                <w:bCs/>
                <w:color w:val="00408B"/>
                <w:sz w:val="28"/>
                <w:szCs w:val="28"/>
              </w:rPr>
              <w:br/>
              <w:t>ANNEX 2: Funding</w:t>
            </w:r>
          </w:p>
          <w:p w:rsidR="000A5DB2" w:rsidRPr="00ED3C77" w:rsidRDefault="000A5DB2" w:rsidP="000A5DB2">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9543F7" w:rsidRPr="00ED3C77" w:rsidRDefault="009543F7" w:rsidP="00D51E97">
      <w:pPr>
        <w:pStyle w:val="Body"/>
        <w:spacing w:before="240"/>
      </w:pPr>
      <w:r w:rsidRPr="00ED3C77">
        <w:t>SPS supports projects for up to three years. Roughly half of the budget is generally allocated to equipment, ~20% to training and travel, and up to 15% to stipends. These proportions are meant as guidelines only, not fixed limits, and will vary according to the needs of each project.</w:t>
      </w:r>
    </w:p>
    <w:p w:rsidR="009543F7" w:rsidRPr="00ED3C77" w:rsidRDefault="009543F7" w:rsidP="00090D7A">
      <w:pPr>
        <w:pStyle w:val="Body"/>
        <w:spacing w:after="0"/>
      </w:pPr>
      <w:r w:rsidRPr="00ED3C77">
        <w:t xml:space="preserve">Within the SPS project, NATO funds </w:t>
      </w:r>
      <w:r w:rsidRPr="00ED3C77">
        <w:rPr>
          <w:b/>
        </w:rPr>
        <w:t>may</w:t>
      </w:r>
      <w:r w:rsidRPr="00ED3C77">
        <w:t xml:space="preserve"> be used for:</w:t>
      </w:r>
    </w:p>
    <w:p w:rsidR="009543F7" w:rsidRPr="00ED3C77" w:rsidRDefault="009543F7" w:rsidP="008512C6">
      <w:pPr>
        <w:pStyle w:val="BulletList"/>
        <w:numPr>
          <w:ilvl w:val="0"/>
          <w:numId w:val="4"/>
        </w:numPr>
      </w:pPr>
      <w:r w:rsidRPr="00ED3C77">
        <w:t xml:space="preserve">the purchase of </w:t>
      </w:r>
      <w:r w:rsidRPr="00ED3C77">
        <w:rPr>
          <w:i/>
        </w:rPr>
        <w:t>project-specific</w:t>
      </w:r>
      <w:r w:rsidRPr="00ED3C77">
        <w:t xml:space="preserve"> equipment, computers, consumables, and spare parts, including transport costs but not taxes and duties (see below)</w:t>
      </w:r>
    </w:p>
    <w:p w:rsidR="009543F7" w:rsidRPr="00ED3C77" w:rsidRDefault="009543F7" w:rsidP="008512C6">
      <w:pPr>
        <w:pStyle w:val="BulletList"/>
        <w:numPr>
          <w:ilvl w:val="0"/>
          <w:numId w:val="5"/>
        </w:numPr>
      </w:pPr>
      <w:proofErr w:type="gramStart"/>
      <w:r w:rsidRPr="00ED3C77">
        <w:t>training</w:t>
      </w:r>
      <w:proofErr w:type="gramEnd"/>
      <w:r w:rsidRPr="00ED3C77">
        <w:t xml:space="preserve"> for project participants, including necessary travel. Training may include, but is not limited to, instruction on new equipment or techniques with the manufacturer or in the laboratory of another project participant, or a seminar/institute organized within the framework of the project to train multiple proj</w:t>
      </w:r>
      <w:r w:rsidR="0040544E">
        <w:t>ect participants simultaneously</w:t>
      </w:r>
    </w:p>
    <w:p w:rsidR="009543F7" w:rsidRPr="00ED3C77" w:rsidRDefault="009543F7" w:rsidP="008512C6">
      <w:pPr>
        <w:pStyle w:val="BulletList"/>
        <w:numPr>
          <w:ilvl w:val="0"/>
          <w:numId w:val="6"/>
        </w:numPr>
      </w:pPr>
      <w:r w:rsidRPr="00ED3C77">
        <w:t>the purchase of journals and books required for the project</w:t>
      </w:r>
    </w:p>
    <w:p w:rsidR="009543F7" w:rsidRPr="00ED3C77" w:rsidRDefault="009543F7" w:rsidP="00234914">
      <w:pPr>
        <w:pStyle w:val="BulletList"/>
        <w:spacing w:after="60"/>
        <w:ind w:left="714" w:hanging="357"/>
      </w:pPr>
      <w:r w:rsidRPr="00ED3C77">
        <w:t>communication of project results, including publication in scientific journals and protection of project-generated intellectual property</w:t>
      </w:r>
    </w:p>
    <w:p w:rsidR="009543F7" w:rsidRPr="00ED3C77" w:rsidRDefault="009543F7" w:rsidP="00234914">
      <w:pPr>
        <w:pStyle w:val="BulletList"/>
        <w:spacing w:after="60"/>
        <w:ind w:left="714" w:hanging="357"/>
      </w:pPr>
      <w:proofErr w:type="gramStart"/>
      <w:r w:rsidRPr="00ED3C77">
        <w:t>experts</w:t>
      </w:r>
      <w:proofErr w:type="gramEnd"/>
      <w:r w:rsidRPr="00ED3C77">
        <w:t xml:space="preserve"> or advisors from a NATO country hired for a short duration to solve a </w:t>
      </w:r>
      <w:r w:rsidR="005664EE" w:rsidRPr="005664EE">
        <w:rPr>
          <w:b/>
        </w:rPr>
        <w:t>specific project-related problem</w:t>
      </w:r>
      <w:r w:rsidR="005D6531">
        <w:t>; advisors’ fees may not exceed €</w:t>
      </w:r>
      <w:r w:rsidR="00BA04DD">
        <w:t>3</w:t>
      </w:r>
      <w:r w:rsidR="005D6531">
        <w:t>00 per day</w:t>
      </w:r>
      <w:r w:rsidR="00BA04DD">
        <w:t xml:space="preserve"> and </w:t>
      </w:r>
      <w:r w:rsidR="0056244E">
        <w:t>ten</w:t>
      </w:r>
      <w:r w:rsidR="00BA04DD">
        <w:t xml:space="preserve"> days per year.</w:t>
      </w:r>
    </w:p>
    <w:p w:rsidR="009543F7" w:rsidRPr="00ED3C77" w:rsidRDefault="009543F7" w:rsidP="00234914">
      <w:pPr>
        <w:pStyle w:val="BulletList"/>
        <w:spacing w:after="60"/>
        <w:ind w:left="714" w:hanging="357"/>
      </w:pPr>
      <w:r w:rsidRPr="00ED3C77">
        <w:t>participants’ international and domestic, but not local, travel for project meetings and consultation</w:t>
      </w:r>
    </w:p>
    <w:p w:rsidR="009543F7" w:rsidRPr="00ED3C77" w:rsidRDefault="009543F7" w:rsidP="008512C6">
      <w:pPr>
        <w:pStyle w:val="BulletList"/>
        <w:numPr>
          <w:ilvl w:val="0"/>
          <w:numId w:val="7"/>
        </w:numPr>
      </w:pPr>
      <w:r w:rsidRPr="00ED3C77">
        <w:t>attendance at conferences, seminars, and workshops related to the project</w:t>
      </w:r>
    </w:p>
    <w:p w:rsidR="009543F7" w:rsidRPr="00ED3C77" w:rsidRDefault="009543F7" w:rsidP="00234914">
      <w:pPr>
        <w:pStyle w:val="BulletList"/>
        <w:spacing w:after="60"/>
        <w:ind w:left="714" w:hanging="357"/>
      </w:pPr>
      <w:r w:rsidRPr="00ED3C77">
        <w:t>direct project-related administrative expenses</w:t>
      </w:r>
    </w:p>
    <w:p w:rsidR="009543F7" w:rsidRDefault="009543F7" w:rsidP="008512C6">
      <w:pPr>
        <w:pStyle w:val="BulletList"/>
        <w:numPr>
          <w:ilvl w:val="0"/>
          <w:numId w:val="3"/>
        </w:numPr>
        <w:spacing w:after="60"/>
        <w:ind w:left="714" w:hanging="357"/>
      </w:pPr>
      <w:r w:rsidRPr="00ED3C77">
        <w:t xml:space="preserve">stipends for key young researchers in eligible countries (see </w:t>
      </w:r>
      <w:hyperlink w:anchor="Annex3EligibleCountries" w:history="1">
        <w:r w:rsidRPr="00D51E97">
          <w:rPr>
            <w:rStyle w:val="Hyperlink"/>
            <w:b/>
          </w:rPr>
          <w:t>Annex 3</w:t>
        </w:r>
      </w:hyperlink>
      <w:r w:rsidRPr="00ED3C77">
        <w:t>)</w:t>
      </w:r>
    </w:p>
    <w:p w:rsidR="007A2BFC" w:rsidRDefault="00090D7A" w:rsidP="008512C6">
      <w:pPr>
        <w:pStyle w:val="BulletList"/>
        <w:numPr>
          <w:ilvl w:val="1"/>
          <w:numId w:val="3"/>
        </w:numPr>
        <w:spacing w:after="60"/>
      </w:pPr>
      <w:r>
        <w:t xml:space="preserve">total </w:t>
      </w:r>
      <w:r w:rsidR="007A2BFC">
        <w:t xml:space="preserve">stipends may not </w:t>
      </w:r>
      <w:r>
        <w:t>be</w:t>
      </w:r>
      <w:r w:rsidR="007A2BFC">
        <w:t xml:space="preserve"> more than 15% of the project budget</w:t>
      </w:r>
    </w:p>
    <w:p w:rsidR="007A2BFC" w:rsidRDefault="007A2BFC" w:rsidP="008512C6">
      <w:pPr>
        <w:pStyle w:val="BulletList"/>
        <w:numPr>
          <w:ilvl w:val="1"/>
          <w:numId w:val="3"/>
        </w:numPr>
        <w:spacing w:after="60"/>
      </w:pPr>
      <w:r>
        <w:t>stipend recipients must be employed full-time on the project</w:t>
      </w:r>
    </w:p>
    <w:p w:rsidR="007A2BFC" w:rsidRDefault="007A2BFC" w:rsidP="008512C6">
      <w:pPr>
        <w:pStyle w:val="BulletList"/>
        <w:numPr>
          <w:ilvl w:val="1"/>
          <w:numId w:val="3"/>
        </w:numPr>
        <w:spacing w:after="60"/>
      </w:pPr>
      <w:r>
        <w:t>stipend recipients must be aged 40 or less at the date of the initial award</w:t>
      </w:r>
    </w:p>
    <w:p w:rsidR="007A2BFC" w:rsidRDefault="007A2BFC" w:rsidP="008512C6">
      <w:pPr>
        <w:pStyle w:val="BulletList"/>
        <w:numPr>
          <w:ilvl w:val="1"/>
          <w:numId w:val="3"/>
        </w:numPr>
        <w:spacing w:after="60"/>
      </w:pPr>
      <w:r>
        <w:t xml:space="preserve">the CVs of proposed recipients must be submitted to and approved by the SPS office </w:t>
      </w:r>
      <w:r w:rsidRPr="007A2BFC">
        <w:rPr>
          <w:i/>
        </w:rPr>
        <w:t>before</w:t>
      </w:r>
      <w:r>
        <w:t xml:space="preserve"> stipends may be paid</w:t>
      </w:r>
    </w:p>
    <w:p w:rsidR="007A2BFC" w:rsidRPr="00ED3C77" w:rsidRDefault="00900CE3" w:rsidP="008512C6">
      <w:pPr>
        <w:pStyle w:val="BulletList"/>
        <w:numPr>
          <w:ilvl w:val="1"/>
          <w:numId w:val="3"/>
        </w:numPr>
        <w:spacing w:after="60"/>
      </w:pPr>
      <w:r>
        <w:t>Co-Director</w:t>
      </w:r>
      <w:r w:rsidR="007A2BFC">
        <w:t>s may not themselves receive stipends</w:t>
      </w:r>
    </w:p>
    <w:p w:rsidR="009543F7" w:rsidRPr="00ED3C77" w:rsidRDefault="009543F7" w:rsidP="00090D7A">
      <w:pPr>
        <w:pStyle w:val="Body"/>
        <w:spacing w:before="240" w:after="0"/>
      </w:pPr>
      <w:r w:rsidRPr="00ED3C77">
        <w:t xml:space="preserve">However, NATO funds </w:t>
      </w:r>
      <w:r w:rsidRPr="00ED3C77">
        <w:rPr>
          <w:b/>
        </w:rPr>
        <w:t>may not</w:t>
      </w:r>
      <w:r w:rsidRPr="00ED3C77">
        <w:t xml:space="preserve"> be used for:</w:t>
      </w:r>
    </w:p>
    <w:p w:rsidR="009543F7" w:rsidRPr="00ED3C77" w:rsidRDefault="009543F7" w:rsidP="00234914">
      <w:pPr>
        <w:pStyle w:val="BulletList"/>
        <w:spacing w:after="60"/>
        <w:ind w:left="714" w:hanging="357"/>
      </w:pPr>
      <w:r w:rsidRPr="00ED3C77">
        <w:t>salaries and related benefits of any kind</w:t>
      </w:r>
    </w:p>
    <w:p w:rsidR="009543F7" w:rsidRPr="00ED3C77" w:rsidRDefault="009543F7" w:rsidP="00234914">
      <w:pPr>
        <w:pStyle w:val="BulletList"/>
        <w:spacing w:after="60"/>
        <w:ind w:left="714" w:hanging="357"/>
      </w:pPr>
      <w:r w:rsidRPr="00ED3C77">
        <w:t>fees for advisors or consultants from non-NATO countries or for the advice of participants in this or any other SPS project</w:t>
      </w:r>
    </w:p>
    <w:p w:rsidR="009543F7" w:rsidRPr="00ED3C77" w:rsidRDefault="009543F7" w:rsidP="00234914">
      <w:pPr>
        <w:pStyle w:val="BulletList"/>
        <w:spacing w:after="60"/>
        <w:ind w:left="714" w:hanging="357"/>
      </w:pPr>
      <w:r w:rsidRPr="00ED3C77">
        <w:t>general consumables and services readily available in the participating institutes and countries</w:t>
      </w:r>
    </w:p>
    <w:p w:rsidR="009543F7" w:rsidRPr="00ED3C77" w:rsidRDefault="009543F7" w:rsidP="00234914">
      <w:pPr>
        <w:pStyle w:val="BulletList"/>
        <w:spacing w:after="60"/>
        <w:ind w:left="714" w:hanging="357"/>
      </w:pPr>
      <w:r w:rsidRPr="00ED3C77">
        <w:t>overhead or general administrative expenses including but not limited to construction, rental or use of buildings, depreciation of equipment already available, maintenance of premises, or consumables such as electricity and heat</w:t>
      </w:r>
      <w:r w:rsidR="00090D7A">
        <w:t>ing oil</w:t>
      </w:r>
    </w:p>
    <w:p w:rsidR="009543F7" w:rsidRPr="00ED3C77" w:rsidRDefault="009543F7" w:rsidP="00234914">
      <w:pPr>
        <w:pStyle w:val="BulletList"/>
        <w:spacing w:after="60"/>
        <w:ind w:left="714" w:hanging="357"/>
      </w:pPr>
      <w:r w:rsidRPr="00ED3C77">
        <w:t>daily and local travel</w:t>
      </w:r>
    </w:p>
    <w:p w:rsidR="009543F7" w:rsidRPr="00ED3C77" w:rsidRDefault="009543F7" w:rsidP="00234914">
      <w:pPr>
        <w:pStyle w:val="BulletList"/>
        <w:spacing w:after="60"/>
        <w:ind w:left="714" w:hanging="357"/>
      </w:pPr>
      <w:r w:rsidRPr="00ED3C77">
        <w:t xml:space="preserve">car rental (except with the </w:t>
      </w:r>
      <w:r w:rsidRPr="00ED3C77">
        <w:rPr>
          <w:i/>
        </w:rPr>
        <w:t>prior</w:t>
      </w:r>
      <w:r w:rsidRPr="00ED3C77">
        <w:t xml:space="preserve"> approval of the SPS office)</w:t>
      </w:r>
    </w:p>
    <w:p w:rsidR="009543F7" w:rsidRPr="00ED3C77" w:rsidRDefault="009543F7" w:rsidP="00234914">
      <w:pPr>
        <w:pStyle w:val="BulletList"/>
        <w:spacing w:after="60"/>
        <w:ind w:left="714" w:hanging="357"/>
      </w:pPr>
      <w:r w:rsidRPr="00ED3C77">
        <w:t>the purchase of vehicles</w:t>
      </w:r>
    </w:p>
    <w:p w:rsidR="009543F7" w:rsidRPr="00ED3C77" w:rsidRDefault="009543F7" w:rsidP="00234914">
      <w:pPr>
        <w:pStyle w:val="BulletList"/>
        <w:spacing w:after="60"/>
        <w:ind w:left="714" w:hanging="357"/>
      </w:pPr>
      <w:proofErr w:type="gramStart"/>
      <w:r w:rsidRPr="00ED3C77">
        <w:t>office</w:t>
      </w:r>
      <w:proofErr w:type="gramEnd"/>
      <w:r w:rsidRPr="00ED3C77">
        <w:t xml:space="preserve"> equipment and supplies such as paper, copy machines, fax machines, etc.</w:t>
      </w:r>
    </w:p>
    <w:p w:rsidR="009543F7" w:rsidRPr="00ED3C77" w:rsidRDefault="009543F7" w:rsidP="00234914">
      <w:pPr>
        <w:pStyle w:val="BulletList"/>
        <w:spacing w:after="60"/>
        <w:ind w:left="714" w:hanging="357"/>
      </w:pPr>
      <w:r w:rsidRPr="00ED3C77">
        <w:t>payment of taxes or duties including import taxes and VAT</w:t>
      </w:r>
    </w:p>
    <w:p w:rsidR="009543F7" w:rsidRPr="00ED3C77" w:rsidRDefault="009543F7" w:rsidP="00234914">
      <w:pPr>
        <w:pStyle w:val="BulletList"/>
        <w:spacing w:after="60"/>
        <w:ind w:left="714" w:hanging="357"/>
      </w:pPr>
      <w:r w:rsidRPr="00ED3C77">
        <w:t>general language or computer courses</w:t>
      </w:r>
    </w:p>
    <w:p w:rsidR="009543F7" w:rsidRPr="00ED3C77" w:rsidRDefault="009543F7" w:rsidP="00234914">
      <w:pPr>
        <w:pStyle w:val="BulletList"/>
        <w:spacing w:after="60"/>
        <w:ind w:left="714" w:hanging="357"/>
      </w:pPr>
      <w:r w:rsidRPr="00ED3C77">
        <w:t>translation of documents</w:t>
      </w:r>
    </w:p>
    <w:p w:rsidR="009543F7" w:rsidRPr="00ED3C77" w:rsidRDefault="009543F7" w:rsidP="00090D7A">
      <w:pPr>
        <w:pStyle w:val="BulletList"/>
        <w:numPr>
          <w:ilvl w:val="0"/>
          <w:numId w:val="0"/>
        </w:numPr>
        <w:spacing w:before="240" w:after="0"/>
      </w:pPr>
      <w:r w:rsidRPr="00ED3C77">
        <w:t xml:space="preserve">According to the size of the project and the financial capability of the </w:t>
      </w:r>
      <w:r w:rsidR="00900CE3">
        <w:t>Co-Director</w:t>
      </w:r>
      <w:r w:rsidRPr="00ED3C77">
        <w:t xml:space="preserve">s and their institutions, co-funding of some expenses, particularly those marked </w:t>
      </w:r>
      <w:r w:rsidRPr="00ED3C77">
        <w:sym w:font="Wingdings" w:char="F076"/>
      </w:r>
      <w:r w:rsidRPr="00ED3C77">
        <w:t xml:space="preserve"> above, may be expected as part of the grant. The joint nature of the research should also be reflected in the allocation of funds among the </w:t>
      </w:r>
      <w:r w:rsidR="00900CE3">
        <w:t>Co-Director</w:t>
      </w:r>
      <w:r w:rsidRPr="00ED3C77">
        <w:t>s.</w:t>
      </w:r>
    </w:p>
    <w:p w:rsidR="009543F7" w:rsidRPr="00ED3C77" w:rsidRDefault="009543F7" w:rsidP="00234914">
      <w:pPr>
        <w:spacing w:after="120"/>
        <w:jc w:val="center"/>
        <w:rPr>
          <w:b/>
          <w:bCs/>
          <w:color w:val="3487C8"/>
          <w:sz w:val="22"/>
          <w:szCs w:val="22"/>
        </w:rPr>
        <w:sectPr w:rsidR="009543F7" w:rsidRPr="00ED3C77" w:rsidSect="00092F5C">
          <w:footnotePr>
            <w:numFmt w:val="chicago"/>
            <w:numRestart w:val="eachPage"/>
          </w:footnotePr>
          <w:pgSz w:w="12240" w:h="15840" w:code="1"/>
          <w:pgMar w:top="340" w:right="907" w:bottom="340" w:left="907" w:header="720" w:footer="720" w:gutter="0"/>
          <w:cols w:space="720"/>
          <w:titlePg/>
        </w:sectPr>
      </w:pPr>
    </w:p>
    <w:tbl>
      <w:tblPr>
        <w:tblW w:w="0" w:type="auto"/>
        <w:tblInd w:w="108" w:type="dxa"/>
        <w:tblBorders>
          <w:bottom w:val="single" w:sz="4" w:space="0" w:color="auto"/>
        </w:tblBorders>
        <w:tblLayout w:type="fixed"/>
        <w:tblCellMar>
          <w:bottom w:w="142" w:type="dxa"/>
        </w:tblCellMar>
        <w:tblLook w:val="0000"/>
      </w:tblPr>
      <w:tblGrid>
        <w:gridCol w:w="993"/>
        <w:gridCol w:w="9355"/>
      </w:tblGrid>
      <w:tr w:rsidR="00090D7A" w:rsidRPr="00ED3C77">
        <w:trPr>
          <w:trHeight w:val="1881"/>
        </w:trPr>
        <w:tc>
          <w:tcPr>
            <w:tcW w:w="993" w:type="dxa"/>
            <w:vAlign w:val="center"/>
          </w:tcPr>
          <w:p w:rsidR="00090D7A" w:rsidRPr="00ED3C77" w:rsidRDefault="000A15BE" w:rsidP="00A203DD">
            <w:pPr>
              <w:jc w:val="center"/>
              <w:rPr>
                <w:b/>
                <w:bCs/>
              </w:rPr>
            </w:pPr>
            <w:bookmarkStart w:id="9" w:name="Annex3EligibleCountries"/>
            <w:bookmarkEnd w:id="9"/>
            <w:r>
              <w:rPr>
                <w:b/>
                <w:bCs/>
                <w:noProof/>
                <w:lang w:val="en-US"/>
              </w:rPr>
              <w:drawing>
                <wp:inline distT="0" distB="0" distL="0" distR="0">
                  <wp:extent cx="581025" cy="11620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090D7A" w:rsidRPr="00ED3C77" w:rsidRDefault="00090D7A" w:rsidP="00090D7A">
            <w:pPr>
              <w:spacing w:after="120"/>
              <w:jc w:val="center"/>
              <w:rPr>
                <w:b/>
                <w:bCs/>
                <w:color w:val="3487C8"/>
                <w:sz w:val="22"/>
                <w:szCs w:val="22"/>
              </w:rPr>
            </w:pPr>
            <w:r w:rsidRPr="00ED3C77">
              <w:rPr>
                <w:b/>
                <w:bCs/>
                <w:color w:val="3487C8"/>
                <w:sz w:val="22"/>
                <w:szCs w:val="22"/>
              </w:rPr>
              <w:t>Emerging Security Challenges Division</w:t>
            </w:r>
          </w:p>
          <w:p w:rsidR="00090D7A" w:rsidRPr="00ED3C77" w:rsidRDefault="00090D7A" w:rsidP="00090D7A">
            <w:pPr>
              <w:spacing w:after="200"/>
              <w:jc w:val="center"/>
              <w:rPr>
                <w:b/>
                <w:bCs/>
                <w:color w:val="3487C8"/>
                <w:sz w:val="28"/>
                <w:szCs w:val="28"/>
              </w:rPr>
            </w:pPr>
            <w:r w:rsidRPr="00ED3C77">
              <w:rPr>
                <w:b/>
                <w:bCs/>
                <w:color w:val="3487C8"/>
                <w:sz w:val="28"/>
                <w:szCs w:val="28"/>
              </w:rPr>
              <w:t>Science for Peace and Security Programme</w:t>
            </w:r>
          </w:p>
          <w:p w:rsidR="00090D7A" w:rsidRPr="00F07247" w:rsidRDefault="00090D7A" w:rsidP="00090D7A">
            <w:pPr>
              <w:spacing w:after="200"/>
              <w:jc w:val="center"/>
              <w:rPr>
                <w:rFonts w:ascii="Arial" w:hAnsi="Arial" w:cs="Arial"/>
                <w:b/>
                <w:bCs/>
                <w:color w:val="00408B"/>
                <w:sz w:val="28"/>
                <w:szCs w:val="28"/>
              </w:rPr>
            </w:pPr>
            <w:r w:rsidRPr="00F07247">
              <w:rPr>
                <w:rFonts w:ascii="Arial" w:hAnsi="Arial" w:cs="Arial"/>
                <w:b/>
                <w:bCs/>
                <w:color w:val="00408B"/>
                <w:sz w:val="28"/>
                <w:szCs w:val="28"/>
              </w:rPr>
              <w:t>Gu</w:t>
            </w:r>
            <w:r w:rsidR="00F07247" w:rsidRPr="00F07247">
              <w:rPr>
                <w:rFonts w:ascii="Arial" w:hAnsi="Arial" w:cs="Arial"/>
                <w:b/>
                <w:bCs/>
                <w:color w:val="00408B"/>
                <w:sz w:val="28"/>
                <w:szCs w:val="28"/>
              </w:rPr>
              <w:t>idelines for Applicants</w:t>
            </w:r>
            <w:r w:rsidRPr="00F07247">
              <w:rPr>
                <w:rFonts w:ascii="Arial" w:hAnsi="Arial" w:cs="Arial"/>
                <w:b/>
                <w:bCs/>
                <w:color w:val="00408B"/>
                <w:sz w:val="28"/>
                <w:szCs w:val="28"/>
              </w:rPr>
              <w:br/>
              <w:t xml:space="preserve">ANNEX 3: </w:t>
            </w:r>
            <w:r w:rsidR="00627626">
              <w:rPr>
                <w:rFonts w:ascii="Arial" w:hAnsi="Arial" w:cs="Arial"/>
                <w:b/>
                <w:bCs/>
                <w:color w:val="00408B"/>
                <w:sz w:val="28"/>
                <w:szCs w:val="28"/>
              </w:rPr>
              <w:t>Definitions</w:t>
            </w:r>
          </w:p>
          <w:p w:rsidR="00090D7A" w:rsidRPr="00ED3C77" w:rsidRDefault="00090D7A" w:rsidP="00090D7A">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9543F7" w:rsidRPr="00ED3C77" w:rsidRDefault="009543F7" w:rsidP="00CE5A91">
      <w:pPr>
        <w:pStyle w:val="Heading2"/>
      </w:pPr>
      <w:r w:rsidRPr="00ED3C77">
        <w:t>NATO Countries</w:t>
      </w:r>
      <w:bookmarkEnd w:id="1"/>
    </w:p>
    <w:p w:rsidR="009543F7" w:rsidRPr="00ED3C77" w:rsidRDefault="009543F7" w:rsidP="0058543C">
      <w:pPr>
        <w:pStyle w:val="Body"/>
      </w:pPr>
      <w:r w:rsidRPr="00ED3C77">
        <w:t xml:space="preserve">Albania, Belgium, Bulgaria, Canada, Croatia, Czech Republic, Denmark, Estonia, France, Germany, Greece, Hungary, Iceland, Italy, Latvia, Lithuania, Luxembourg, Netherlands, Norway, Poland, Portugal, Romania, Slovak Republic, Slovenia, Spain, </w:t>
      </w:r>
      <w:r w:rsidR="00513301">
        <w:t>T</w:t>
      </w:r>
      <w:r w:rsidRPr="00ED3C77">
        <w:t>urkey, United Kingdom, United States</w:t>
      </w:r>
    </w:p>
    <w:p w:rsidR="009543F7" w:rsidRPr="00ED3C77" w:rsidRDefault="009543F7" w:rsidP="00952B70">
      <w:pPr>
        <w:pStyle w:val="Heading2"/>
      </w:pPr>
      <w:bookmarkStart w:id="10" w:name="_Toc326767648"/>
      <w:r w:rsidRPr="00ED3C77">
        <w:t>NATO Partners</w:t>
      </w:r>
      <w:bookmarkEnd w:id="10"/>
    </w:p>
    <w:p w:rsidR="009543F7" w:rsidRPr="00ED3C77" w:rsidRDefault="009543F7" w:rsidP="0058543C">
      <w:pPr>
        <w:pStyle w:val="Body"/>
      </w:pPr>
      <w:r w:rsidRPr="00ED3C77">
        <w:t>Afghanistan</w:t>
      </w:r>
      <w:r w:rsidRPr="00ED3C77">
        <w:rPr>
          <w:vertAlign w:val="superscript"/>
        </w:rPr>
        <w:t>*</w:t>
      </w:r>
      <w:r w:rsidRPr="00ED3C77">
        <w:t>, Algeria</w:t>
      </w:r>
      <w:r w:rsidRPr="00ED3C77">
        <w:rPr>
          <w:vertAlign w:val="superscript"/>
        </w:rPr>
        <w:t>*</w:t>
      </w:r>
      <w:r w:rsidRPr="00ED3C77">
        <w:t>, Armenia</w:t>
      </w:r>
      <w:r w:rsidRPr="00ED3C77">
        <w:rPr>
          <w:vertAlign w:val="superscript"/>
        </w:rPr>
        <w:t>*</w:t>
      </w:r>
      <w:r w:rsidRPr="00ED3C77">
        <w:t>, Australia, Austria, Azerbaijan</w:t>
      </w:r>
      <w:r w:rsidRPr="00ED3C77">
        <w:rPr>
          <w:vertAlign w:val="superscript"/>
        </w:rPr>
        <w:t>*</w:t>
      </w:r>
      <w:r w:rsidRPr="00ED3C77">
        <w:t>, Bahrain, Belarus</w:t>
      </w:r>
      <w:r w:rsidRPr="00ED3C77">
        <w:rPr>
          <w:vertAlign w:val="superscript"/>
        </w:rPr>
        <w:t>*</w:t>
      </w:r>
      <w:r w:rsidRPr="00ED3C77">
        <w:t>, Bosnia and Herzegovina</w:t>
      </w:r>
      <w:r w:rsidRPr="00ED3C77">
        <w:rPr>
          <w:vertAlign w:val="superscript"/>
        </w:rPr>
        <w:t>*</w:t>
      </w:r>
      <w:r w:rsidRPr="00ED3C77">
        <w:t>, Egypt</w:t>
      </w:r>
      <w:r w:rsidRPr="00ED3C77">
        <w:rPr>
          <w:vertAlign w:val="superscript"/>
        </w:rPr>
        <w:t>*</w:t>
      </w:r>
      <w:r w:rsidRPr="00ED3C77">
        <w:t>, Finland, Georgia</w:t>
      </w:r>
      <w:r w:rsidRPr="00ED3C77">
        <w:rPr>
          <w:vertAlign w:val="superscript"/>
        </w:rPr>
        <w:t>*</w:t>
      </w:r>
      <w:r w:rsidRPr="00ED3C77">
        <w:t>, Iraq</w:t>
      </w:r>
      <w:r w:rsidRPr="00ED3C77">
        <w:rPr>
          <w:vertAlign w:val="superscript"/>
        </w:rPr>
        <w:t>*</w:t>
      </w:r>
      <w:r w:rsidRPr="00ED3C77">
        <w:t>, Ireland, Israel, Japan, Jordan</w:t>
      </w:r>
      <w:r w:rsidRPr="00ED3C77">
        <w:rPr>
          <w:vertAlign w:val="superscript"/>
        </w:rPr>
        <w:t>*</w:t>
      </w:r>
      <w:r w:rsidRPr="00ED3C77">
        <w:t>, Kazakhstan</w:t>
      </w:r>
      <w:r w:rsidRPr="00ED3C77">
        <w:rPr>
          <w:vertAlign w:val="superscript"/>
        </w:rPr>
        <w:t>*</w:t>
      </w:r>
      <w:r w:rsidRPr="00ED3C77">
        <w:t>, Kuwait, Kyrgyz Republic</w:t>
      </w:r>
      <w:r w:rsidRPr="00ED3C77">
        <w:rPr>
          <w:vertAlign w:val="superscript"/>
        </w:rPr>
        <w:t>*</w:t>
      </w:r>
      <w:r w:rsidRPr="00ED3C77">
        <w:t>, Malta, Mauritania</w:t>
      </w:r>
      <w:r w:rsidRPr="00ED3C77">
        <w:rPr>
          <w:vertAlign w:val="superscript"/>
        </w:rPr>
        <w:t>*</w:t>
      </w:r>
      <w:r w:rsidRPr="00ED3C77">
        <w:t>, Moldova</w:t>
      </w:r>
      <w:r w:rsidRPr="00ED3C77">
        <w:rPr>
          <w:vertAlign w:val="superscript"/>
        </w:rPr>
        <w:t>*</w:t>
      </w:r>
      <w:r w:rsidRPr="00ED3C77">
        <w:t>, Mongolia</w:t>
      </w:r>
      <w:r w:rsidRPr="00ED3C77">
        <w:rPr>
          <w:vertAlign w:val="superscript"/>
        </w:rPr>
        <w:t>*</w:t>
      </w:r>
      <w:r w:rsidRPr="00ED3C77">
        <w:t>, Montenegro</w:t>
      </w:r>
      <w:r w:rsidRPr="00ED3C77">
        <w:rPr>
          <w:vertAlign w:val="superscript"/>
        </w:rPr>
        <w:t>*</w:t>
      </w:r>
      <w:r w:rsidRPr="00ED3C77">
        <w:t>, Morocco</w:t>
      </w:r>
      <w:r w:rsidRPr="00ED3C77">
        <w:rPr>
          <w:vertAlign w:val="superscript"/>
        </w:rPr>
        <w:t>*</w:t>
      </w:r>
      <w:r w:rsidRPr="00ED3C77">
        <w:t>, New Zealand, Pakistan</w:t>
      </w:r>
      <w:r w:rsidRPr="00ED3C77">
        <w:rPr>
          <w:vertAlign w:val="superscript"/>
        </w:rPr>
        <w:t>*</w:t>
      </w:r>
      <w:r w:rsidRPr="00ED3C77">
        <w:t>, Qatar, Republic of Korea, Russian Federation, Serbia</w:t>
      </w:r>
      <w:r w:rsidRPr="00ED3C77">
        <w:rPr>
          <w:vertAlign w:val="superscript"/>
        </w:rPr>
        <w:t>*</w:t>
      </w:r>
      <w:r w:rsidRPr="00ED3C77">
        <w:t>, Sweden, Switzerland, Tajikistan</w:t>
      </w:r>
      <w:r w:rsidRPr="00ED3C77">
        <w:rPr>
          <w:vertAlign w:val="superscript"/>
        </w:rPr>
        <w:t>*</w:t>
      </w:r>
      <w:r w:rsidRPr="00ED3C77">
        <w:t>, the former Yugoslav Republic of Macedonia</w:t>
      </w:r>
      <w:r w:rsidR="00CE5A91" w:rsidRPr="00CE5A91">
        <w:rPr>
          <w:vertAlign w:val="superscript"/>
        </w:rPr>
        <w:t>†</w:t>
      </w:r>
      <w:r w:rsidRPr="00ED3C77">
        <w:rPr>
          <w:vertAlign w:val="superscript"/>
        </w:rPr>
        <w:t>*</w:t>
      </w:r>
      <w:r w:rsidRPr="00ED3C77">
        <w:t>, Tunisia</w:t>
      </w:r>
      <w:r w:rsidRPr="00ED3C77">
        <w:rPr>
          <w:vertAlign w:val="superscript"/>
        </w:rPr>
        <w:t>*</w:t>
      </w:r>
      <w:r w:rsidRPr="00ED3C77">
        <w:t>, Turkmenistan</w:t>
      </w:r>
      <w:r w:rsidRPr="00ED3C77">
        <w:rPr>
          <w:vertAlign w:val="superscript"/>
        </w:rPr>
        <w:t>*</w:t>
      </w:r>
      <w:r w:rsidRPr="00ED3C77">
        <w:t>, Ukraine</w:t>
      </w:r>
      <w:r w:rsidRPr="00ED3C77">
        <w:rPr>
          <w:vertAlign w:val="superscript"/>
        </w:rPr>
        <w:t>*</w:t>
      </w:r>
      <w:r w:rsidRPr="00ED3C77">
        <w:t>, United Arab Emirates, Uzbekistan</w:t>
      </w:r>
      <w:r w:rsidRPr="00ED3C77">
        <w:rPr>
          <w:vertAlign w:val="superscript"/>
        </w:rPr>
        <w:t>*</w:t>
      </w:r>
      <w:r w:rsidRPr="00ED3C77">
        <w:t>.</w:t>
      </w:r>
    </w:p>
    <w:p w:rsidR="00CE5A91" w:rsidRDefault="009543F7" w:rsidP="00CE5A91">
      <w:pPr>
        <w:pStyle w:val="Body"/>
      </w:pPr>
      <w:r w:rsidRPr="00ED3C77">
        <w:t xml:space="preserve">Young researchers from partner countries indicated with </w:t>
      </w:r>
      <w:r w:rsidRPr="00ED3C77">
        <w:rPr>
          <w:vertAlign w:val="superscript"/>
        </w:rPr>
        <w:t>*</w:t>
      </w:r>
      <w:r w:rsidRPr="00ED3C77">
        <w:t xml:space="preserve"> are eligible for SPS-funded stipends. Young researchers from NATO countries may be eligible on a case-by-case basis.</w:t>
      </w:r>
      <w:r w:rsidR="00CE5A91">
        <w:t xml:space="preserve"> </w:t>
      </w:r>
    </w:p>
    <w:p w:rsidR="00CE5A91" w:rsidRDefault="00CE5A91" w:rsidP="00CE5A91">
      <w:pPr>
        <w:pStyle w:val="Body"/>
      </w:pPr>
      <w:r w:rsidRPr="00CE5A91">
        <w:rPr>
          <w:vertAlign w:val="superscript"/>
        </w:rPr>
        <w:t>†</w:t>
      </w:r>
      <w:r w:rsidRPr="00CE5A91">
        <w:t>Turkey recognises the Republic of Macedonia with its constitutional name.</w:t>
      </w:r>
    </w:p>
    <w:p w:rsidR="00DA5A97" w:rsidRPr="00DA5A97" w:rsidRDefault="00DA5A97" w:rsidP="00CE5A91">
      <w:pPr>
        <w:pStyle w:val="Heading2"/>
      </w:pPr>
      <w:r w:rsidRPr="00DA5A97">
        <w:t>Independent Scientific Evaluation Group (ISEG)</w:t>
      </w:r>
    </w:p>
    <w:p w:rsidR="00DA5A97" w:rsidRPr="00DA5A97" w:rsidRDefault="00374AA9" w:rsidP="00DA5A97">
      <w:pPr>
        <w:pStyle w:val="Body"/>
      </w:pPr>
      <w:r>
        <w:t xml:space="preserve">The ISEG is an </w:t>
      </w:r>
      <w:r w:rsidR="00DA5A97" w:rsidRPr="00DA5A97">
        <w:t>independent group of experts selected by NATO’s nations</w:t>
      </w:r>
      <w:r>
        <w:t xml:space="preserve"> who</w:t>
      </w:r>
      <w:r w:rsidR="00DA5A97" w:rsidRPr="00DA5A97">
        <w:t xml:space="preserve"> meet on a regular basis to evaluate SPS Project Plans. If a </w:t>
      </w:r>
      <w:r>
        <w:t>P</w:t>
      </w:r>
      <w:r w:rsidRPr="00DA5A97">
        <w:t xml:space="preserve">roject </w:t>
      </w:r>
      <w:r>
        <w:t>P</w:t>
      </w:r>
      <w:r w:rsidRPr="00DA5A97">
        <w:t xml:space="preserve">lan </w:t>
      </w:r>
      <w:r w:rsidR="00DA5A97" w:rsidRPr="00DA5A97">
        <w:t xml:space="preserve">is approved for funding, one or two members of the ISEG will be assigned to follow </w:t>
      </w:r>
      <w:r>
        <w:t>the project’s</w:t>
      </w:r>
      <w:r w:rsidRPr="00DA5A97">
        <w:t xml:space="preserve"> </w:t>
      </w:r>
      <w:r w:rsidR="00DA5A97" w:rsidRPr="00DA5A97">
        <w:t>progress.</w:t>
      </w:r>
    </w:p>
    <w:p w:rsidR="00DA5A97" w:rsidRPr="00DA5A97" w:rsidRDefault="00DA5A97" w:rsidP="00DA5A97">
      <w:pPr>
        <w:pStyle w:val="Heading2"/>
      </w:pPr>
      <w:r w:rsidRPr="00DA5A97">
        <w:rPr>
          <w:u w:val="single"/>
        </w:rPr>
        <w:t>N</w:t>
      </w:r>
      <w:r w:rsidRPr="00DA5A97">
        <w:t xml:space="preserve">ATO country </w:t>
      </w:r>
      <w:r w:rsidRPr="00DA5A97">
        <w:rPr>
          <w:u w:val="single"/>
        </w:rPr>
        <w:t>P</w:t>
      </w:r>
      <w:r w:rsidRPr="00DA5A97">
        <w:t xml:space="preserve">roject </w:t>
      </w:r>
      <w:r w:rsidRPr="00DA5A97">
        <w:rPr>
          <w:u w:val="single"/>
        </w:rPr>
        <w:t>D</w:t>
      </w:r>
      <w:r w:rsidRPr="00DA5A97">
        <w:t>irector (NPD)</w:t>
      </w:r>
    </w:p>
    <w:p w:rsidR="00DA5A97" w:rsidRPr="00DA5A97" w:rsidRDefault="00DA5A97" w:rsidP="00DA5A97">
      <w:pPr>
        <w:pStyle w:val="Body"/>
      </w:pPr>
      <w:r w:rsidRPr="00DA5A97">
        <w:t>The NPD is the person from a NATO country who has been chosen by the applicants to maintain the primary financial responsibility and assume the co-ordination of the project together with the PPD. There may be only one NPD a multi-year Project.</w:t>
      </w:r>
    </w:p>
    <w:p w:rsidR="00DA5A97" w:rsidRPr="00DA5A97" w:rsidRDefault="00DA5A97" w:rsidP="00DA5A97">
      <w:pPr>
        <w:pStyle w:val="Heading2"/>
      </w:pPr>
      <w:r w:rsidRPr="00DA5A97">
        <w:rPr>
          <w:u w:val="single"/>
        </w:rPr>
        <w:t>P</w:t>
      </w:r>
      <w:r w:rsidRPr="00DA5A97">
        <w:t xml:space="preserve">artner country </w:t>
      </w:r>
      <w:r w:rsidRPr="00DA5A97">
        <w:rPr>
          <w:u w:val="single"/>
        </w:rPr>
        <w:t>P</w:t>
      </w:r>
      <w:r w:rsidRPr="00DA5A97">
        <w:t xml:space="preserve">roject </w:t>
      </w:r>
      <w:r w:rsidRPr="00DA5A97">
        <w:rPr>
          <w:u w:val="single"/>
        </w:rPr>
        <w:t>D</w:t>
      </w:r>
      <w:r w:rsidRPr="00DA5A97">
        <w:t>irector (PPD)</w:t>
      </w:r>
    </w:p>
    <w:p w:rsidR="00DA5A97" w:rsidRPr="00DA5A97" w:rsidRDefault="00DA5A97" w:rsidP="00DA5A97">
      <w:pPr>
        <w:pStyle w:val="Body"/>
      </w:pPr>
      <w:r w:rsidRPr="00DA5A97">
        <w:t>The PPD is the person from a partner country who has been chosen by the applicants to be responsible for the co-ordination of the project together with the NPD.  There may be only one PPD in a multi-year Project.</w:t>
      </w:r>
    </w:p>
    <w:p w:rsidR="00DA5A97" w:rsidRPr="00DA5A97" w:rsidRDefault="00DA5A97" w:rsidP="00DA5A97">
      <w:pPr>
        <w:pStyle w:val="Heading2"/>
      </w:pPr>
      <w:r w:rsidRPr="00DA5A97">
        <w:t>Project Co-Directors</w:t>
      </w:r>
    </w:p>
    <w:p w:rsidR="00DA5A97" w:rsidRPr="00DA5A97" w:rsidRDefault="00DA5A97" w:rsidP="00DA5A97">
      <w:pPr>
        <w:pStyle w:val="Body"/>
      </w:pPr>
      <w:r w:rsidRPr="00DA5A97">
        <w:t>Persons involved in the project, who are responsible for a team and who have an assigned NATO budget (including the NPD and PPD).</w:t>
      </w:r>
    </w:p>
    <w:p w:rsidR="00DA5A97" w:rsidRPr="00DA5A97" w:rsidRDefault="00DA5A97" w:rsidP="00DA5A97">
      <w:pPr>
        <w:pStyle w:val="Heading2"/>
      </w:pPr>
      <w:r w:rsidRPr="00DA5A97">
        <w:t>Participants</w:t>
      </w:r>
    </w:p>
    <w:p w:rsidR="00DA5A97" w:rsidRPr="00DA5A97" w:rsidRDefault="00DA5A97" w:rsidP="00DA5A97">
      <w:pPr>
        <w:pStyle w:val="Body"/>
      </w:pPr>
      <w:r w:rsidRPr="00DA5A97">
        <w:t>General term for persons involved in the project with or without an assigned NATO budget.</w:t>
      </w:r>
    </w:p>
    <w:p w:rsidR="00DA5A97" w:rsidRPr="00DA5A97" w:rsidRDefault="00DA5A97" w:rsidP="00DA5A97">
      <w:pPr>
        <w:pStyle w:val="Heading2"/>
      </w:pPr>
      <w:r w:rsidRPr="00DA5A97">
        <w:t xml:space="preserve">Industrial and/or Public Sector Collaborators </w:t>
      </w:r>
    </w:p>
    <w:p w:rsidR="00DA5A97" w:rsidRPr="00DA5A97" w:rsidRDefault="00DA5A97" w:rsidP="00DA5A97">
      <w:pPr>
        <w:pStyle w:val="Body"/>
      </w:pPr>
      <w:r w:rsidRPr="00DA5A97">
        <w:t>These are companies or organisations that are actually participating in the project and contributing their know-how and expertise toward bringing the project to a successful conclusion. These companies or organisations will generally be the end-users of the results of the project.</w:t>
      </w:r>
    </w:p>
    <w:p w:rsidR="00DA5A97" w:rsidRPr="00DA5A97" w:rsidRDefault="00DA5A97" w:rsidP="00DA5A97">
      <w:pPr>
        <w:pStyle w:val="Heading2"/>
      </w:pPr>
      <w:r w:rsidRPr="00DA5A97">
        <w:t>End-User</w:t>
      </w:r>
    </w:p>
    <w:p w:rsidR="00DA5A97" w:rsidRPr="00DA5A97" w:rsidRDefault="00DA5A97" w:rsidP="00DA5A97">
      <w:pPr>
        <w:pStyle w:val="Body"/>
      </w:pPr>
      <w:r w:rsidRPr="00DA5A97">
        <w:t xml:space="preserve">The </w:t>
      </w:r>
      <w:proofErr w:type="gramStart"/>
      <w:r w:rsidRPr="00DA5A97">
        <w:t>entity(</w:t>
      </w:r>
      <w:proofErr w:type="spellStart"/>
      <w:proofErr w:type="gramEnd"/>
      <w:r w:rsidRPr="00DA5A97">
        <w:t>ies</w:t>
      </w:r>
      <w:proofErr w:type="spellEnd"/>
      <w:r w:rsidRPr="00DA5A97">
        <w:t>) which will be using the results of the project.</w:t>
      </w:r>
      <w:r>
        <w:t xml:space="preserve"> </w:t>
      </w:r>
      <w:r w:rsidRPr="00DA5A97">
        <w:t xml:space="preserve">In the case of environmental security projects this can be, e.g., a Government ministry, State organisation or regional authority in charge of the environmental protection within a participating country. In the case of industrial projects, the end-user(s) will generally be a private, commercial and/or industrial </w:t>
      </w:r>
      <w:proofErr w:type="gramStart"/>
      <w:r w:rsidRPr="00DA5A97">
        <w:t>company(</w:t>
      </w:r>
      <w:proofErr w:type="spellStart"/>
      <w:proofErr w:type="gramEnd"/>
      <w:r w:rsidRPr="00DA5A97">
        <w:t>ies</w:t>
      </w:r>
      <w:proofErr w:type="spellEnd"/>
      <w:r w:rsidRPr="00DA5A97">
        <w:t>). Private/Commercial/Industrial Companies are not eligible to receive NATO funding.</w:t>
      </w:r>
    </w:p>
    <w:p w:rsidR="00DA5A97" w:rsidRPr="00DA5A97" w:rsidRDefault="00DA5A97" w:rsidP="00DA5A97">
      <w:pPr>
        <w:pStyle w:val="Heading2"/>
      </w:pPr>
      <w:r w:rsidRPr="00DA5A97">
        <w:t>Project Plan</w:t>
      </w:r>
    </w:p>
    <w:p w:rsidR="00DA5A97" w:rsidRPr="00DA5A97" w:rsidRDefault="00DA5A97" w:rsidP="00DA5A97">
      <w:pPr>
        <w:pStyle w:val="Body"/>
      </w:pPr>
      <w:proofErr w:type="gramStart"/>
      <w:r w:rsidRPr="00DA5A97">
        <w:t>The detailed document in which the applicants fully describe their project, including the objectives, milestones, tasks, budget, communications plan and, if applicable, Intellectual Property Rights Agreement (IPR).</w:t>
      </w:r>
      <w:proofErr w:type="gramEnd"/>
      <w:r w:rsidRPr="00DA5A97">
        <w:t xml:space="preserve"> The approved version of the Project Plan will become part of the contract between NATO and the Co-Directors.</w:t>
      </w:r>
    </w:p>
    <w:p w:rsidR="00DA5A97" w:rsidRPr="00DA5A97" w:rsidRDefault="00DA5A97" w:rsidP="00DA5A97">
      <w:pPr>
        <w:pStyle w:val="Heading2"/>
      </w:pPr>
      <w:r w:rsidRPr="00DA5A97">
        <w:t>SPS Advisor</w:t>
      </w:r>
    </w:p>
    <w:p w:rsidR="00DA5A97" w:rsidRPr="00DA5A97" w:rsidRDefault="00DA5A97" w:rsidP="00DA5A97">
      <w:pPr>
        <w:pStyle w:val="Body"/>
      </w:pPr>
      <w:r w:rsidRPr="00DA5A97">
        <w:t xml:space="preserve">The staff member of NATO’s Science for Peace and Security (SPS) Programme responsible for the management of multi-year </w:t>
      </w:r>
      <w:r w:rsidR="00B5766B">
        <w:t xml:space="preserve">SPS </w:t>
      </w:r>
      <w:r w:rsidRPr="00DA5A97">
        <w:t>Projects.</w:t>
      </w:r>
    </w:p>
    <w:sectPr w:rsidR="00DA5A97" w:rsidRPr="00DA5A97" w:rsidSect="009233A9">
      <w:headerReference w:type="even" r:id="rId20"/>
      <w:headerReference w:type="default" r:id="rId21"/>
      <w:footnotePr>
        <w:numFmt w:val="chicago"/>
        <w:numRestart w:val="eachPage"/>
      </w:footnotePr>
      <w:type w:val="continuous"/>
      <w:pgSz w:w="12240" w:h="15840" w:code="1"/>
      <w:pgMar w:top="340" w:right="907" w:bottom="340" w:left="90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5C" w:rsidRDefault="0098405C">
      <w:r>
        <w:separator/>
      </w:r>
    </w:p>
    <w:p w:rsidR="0098405C" w:rsidRDefault="0098405C"/>
  </w:endnote>
  <w:endnote w:type="continuationSeparator" w:id="0">
    <w:p w:rsidR="0098405C" w:rsidRDefault="0098405C">
      <w:r>
        <w:continuationSeparator/>
      </w:r>
    </w:p>
    <w:p w:rsidR="0098405C" w:rsidRDefault="0098405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F6C" w:rsidRDefault="00201F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7A" w:rsidRPr="00803E52" w:rsidRDefault="00581A9F" w:rsidP="00803E52">
    <w:pPr>
      <w:pStyle w:val="Footer"/>
      <w:jc w:val="center"/>
      <w:rPr>
        <w:rFonts w:ascii="Arial" w:hAnsi="Arial" w:cs="Arial"/>
        <w:lang w:val="en-US"/>
      </w:rPr>
    </w:pPr>
    <w:r>
      <w:rPr>
        <w:rStyle w:val="PageNumber"/>
      </w:rPr>
      <w:fldChar w:fldCharType="begin"/>
    </w:r>
    <w:r w:rsidR="00DE637A">
      <w:rPr>
        <w:rStyle w:val="PageNumber"/>
      </w:rPr>
      <w:instrText xml:space="preserve"> PAGE </w:instrText>
    </w:r>
    <w:r>
      <w:rPr>
        <w:rStyle w:val="PageNumber"/>
      </w:rPr>
      <w:fldChar w:fldCharType="separate"/>
    </w:r>
    <w:r w:rsidR="00C61919">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F6C" w:rsidRDefault="00201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5C" w:rsidRDefault="0098405C">
      <w:r>
        <w:separator/>
      </w:r>
    </w:p>
    <w:p w:rsidR="0098405C" w:rsidRDefault="0098405C"/>
  </w:footnote>
  <w:footnote w:type="continuationSeparator" w:id="0">
    <w:p w:rsidR="0098405C" w:rsidRDefault="0098405C">
      <w:r>
        <w:continuationSeparator/>
      </w:r>
    </w:p>
    <w:p w:rsidR="0098405C" w:rsidRDefault="0098405C"/>
  </w:footnote>
  <w:footnote w:id="1">
    <w:p w:rsidR="00DE637A" w:rsidRPr="00ED3C77" w:rsidRDefault="00DE637A">
      <w:pPr>
        <w:pStyle w:val="FootnoteText"/>
        <w:rPr>
          <w:lang w:val="en-GB"/>
        </w:rPr>
      </w:pPr>
      <w:r w:rsidRPr="00ED3C77">
        <w:rPr>
          <w:rStyle w:val="FootnoteReference"/>
          <w:lang w:val="en-GB"/>
        </w:rPr>
        <w:footnoteRef/>
      </w:r>
      <w:r w:rsidRPr="00ED3C77">
        <w:rPr>
          <w:lang w:val="en-GB"/>
        </w:rPr>
        <w:t xml:space="preserve"> Depending on the programme type, end users could be (but are not limited to) government ministries, state organisations or regional authorities within a participating country or private, commercial and/or industrial companies.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F6C" w:rsidRDefault="00201F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F6C" w:rsidRDefault="00201F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F6C" w:rsidRDefault="00201F6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7A" w:rsidRDefault="00DE637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7A" w:rsidRPr="004E3850" w:rsidRDefault="00DE637A" w:rsidP="00111C4C">
    <w:pPr>
      <w:pStyle w:val="Header"/>
      <w:tabs>
        <w:tab w:val="clear" w:pos="4320"/>
        <w:tab w:val="clear" w:pos="8640"/>
        <w:tab w:val="center" w:pos="5103"/>
        <w:tab w:val="right" w:pos="10348"/>
      </w:tabs>
      <w:rPr>
        <w:rStyle w:val="Instructions"/>
        <w:rFonts w:ascii="Arial" w:hAnsi="Arial" w:cs="Arial"/>
        <w:color w:val="FF0000"/>
      </w:rPr>
    </w:pPr>
    <w:proofErr w:type="gramStart"/>
    <w:r w:rsidRPr="004E3850">
      <w:rPr>
        <w:rStyle w:val="Instructions"/>
        <w:rFonts w:ascii="Arial" w:hAnsi="Arial" w:cs="Arial"/>
      </w:rPr>
      <w:t>project</w:t>
    </w:r>
    <w:proofErr w:type="gramEnd"/>
    <w:r w:rsidRPr="004E3850">
      <w:rPr>
        <w:rStyle w:val="Instructions"/>
        <w:rFonts w:ascii="Arial" w:hAnsi="Arial" w:cs="Arial"/>
      </w:rPr>
      <w:t xml:space="preserve"> title, NPD, </w:t>
    </w:r>
    <w:smartTag w:uri="urn:schemas-microsoft-com:office:smarttags" w:element="stockticker">
      <w:r w:rsidRPr="004E3850">
        <w:rPr>
          <w:rStyle w:val="Instructions"/>
          <w:rFonts w:ascii="Arial" w:hAnsi="Arial" w:cs="Arial"/>
        </w:rPr>
        <w:t>PPD</w:t>
      </w:r>
    </w:smartTag>
    <w:r w:rsidRPr="004E3850">
      <w:rPr>
        <w:rStyle w:val="Instructions"/>
        <w:rFonts w:ascii="Arial" w:hAnsi="Arial" w:cs="Arial"/>
      </w:rPr>
      <w:tab/>
    </w:r>
    <w:r w:rsidRPr="00E028D0">
      <w:rPr>
        <w:rFonts w:ascii="Arial" w:hAnsi="Arial" w:cs="Arial"/>
        <w:b/>
        <w:color w:val="6DABD9"/>
        <w:szCs w:val="18"/>
      </w:rPr>
      <w:t>project</w:t>
    </w:r>
    <w:r w:rsidRPr="00E028D0">
      <w:rPr>
        <w:color w:val="6DABD9"/>
      </w:rPr>
      <w:t xml:space="preserve"> </w:t>
    </w:r>
    <w:r>
      <w:rPr>
        <w:rFonts w:ascii="Arial" w:hAnsi="Arial" w:cs="Arial"/>
        <w:b/>
        <w:color w:val="6DABD9"/>
        <w:szCs w:val="18"/>
      </w:rPr>
      <w:t>application</w:t>
    </w:r>
    <w:r w:rsidRPr="004E3850">
      <w:rPr>
        <w:rStyle w:val="Instructions"/>
        <w:rFonts w:ascii="Arial" w:hAnsi="Arial" w:cs="Arial"/>
      </w:rPr>
      <w:tab/>
    </w:r>
    <w:r w:rsidRPr="00E028D0">
      <w:rPr>
        <w:rFonts w:ascii="Arial" w:hAnsi="Arial" w:cs="Arial"/>
        <w:b/>
        <w:color w:val="6DABD9"/>
        <w:szCs w:val="18"/>
      </w:rPr>
      <w:t>NATO internal use</w:t>
    </w:r>
  </w:p>
  <w:p w:rsidR="00DE637A" w:rsidRPr="00111C4C" w:rsidRDefault="00DE637A" w:rsidP="00111C4C">
    <w:pPr>
      <w:pStyle w:val="Header"/>
      <w:tabs>
        <w:tab w:val="clear" w:pos="8640"/>
        <w:tab w:val="left" w:pos="8789"/>
        <w:tab w:val="right" w:pos="10348"/>
      </w:tabs>
      <w:spacing w:after="120"/>
      <w:rPr>
        <w:rStyle w:val="Instructions"/>
        <w:rFonts w:ascii="Arial" w:hAnsi="Arial" w:cs="Arial"/>
        <w:b/>
        <w:i w:val="0"/>
        <w:color w:val="FF0000"/>
      </w:rPr>
    </w:pPr>
    <w:r>
      <w:rPr>
        <w:rStyle w:val="Instructions"/>
        <w:rFonts w:ascii="Arial" w:hAnsi="Arial" w:cs="Arial"/>
      </w:rPr>
      <w:tab/>
    </w:r>
    <w:r w:rsidRPr="00E028D0">
      <w:tab/>
    </w:r>
    <w:r w:rsidRPr="00E028D0">
      <w:rPr>
        <w:rFonts w:ascii="Arial" w:hAnsi="Arial" w:cs="Arial"/>
        <w:b/>
        <w:color w:val="6DABD9"/>
        <w:szCs w:val="18"/>
      </w:rPr>
      <w:t>SPS:</w:t>
    </w:r>
    <w:r>
      <w:rPr>
        <w:rFonts w:ascii="Arial" w:hAnsi="Arial" w:cs="Arial"/>
        <w:b/>
        <w:color w:val="FF0000"/>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8BC"/>
    <w:multiLevelType w:val="hybridMultilevel"/>
    <w:tmpl w:val="A482BEF8"/>
    <w:lvl w:ilvl="0" w:tplc="04090009">
      <w:start w:val="1"/>
      <w:numFmt w:val="bullet"/>
      <w:lvlText w:val=""/>
      <w:lvlJc w:val="left"/>
      <w:pPr>
        <w:tabs>
          <w:tab w:val="num" w:pos="720"/>
        </w:tabs>
        <w:ind w:left="720" w:hanging="360"/>
      </w:pPr>
      <w:rPr>
        <w:rFonts w:ascii="Wingdings" w:hAnsi="Wingding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95641"/>
    <w:multiLevelType w:val="hybridMultilevel"/>
    <w:tmpl w:val="8CA28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D55A29"/>
    <w:multiLevelType w:val="hybridMultilevel"/>
    <w:tmpl w:val="48D80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2A77AE"/>
    <w:multiLevelType w:val="hybridMultilevel"/>
    <w:tmpl w:val="5B94A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D82B7A"/>
    <w:multiLevelType w:val="hybridMultilevel"/>
    <w:tmpl w:val="5A4A4A58"/>
    <w:lvl w:ilvl="0" w:tplc="C034FF34">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624BAE"/>
    <w:multiLevelType w:val="hybridMultilevel"/>
    <w:tmpl w:val="4574E158"/>
    <w:lvl w:ilvl="0" w:tplc="04090009">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243349"/>
    <w:multiLevelType w:val="hybridMultilevel"/>
    <w:tmpl w:val="78ACBD82"/>
    <w:lvl w:ilvl="0" w:tplc="04090009">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B261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4AB5B48"/>
    <w:multiLevelType w:val="hybridMultilevel"/>
    <w:tmpl w:val="0EE842FE"/>
    <w:lvl w:ilvl="0" w:tplc="5DD2D3A8">
      <w:start w:val="1"/>
      <w:numFmt w:val="bullet"/>
      <w:pStyle w:val="BulletLis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C04D63"/>
    <w:multiLevelType w:val="hybridMultilevel"/>
    <w:tmpl w:val="23BAF210"/>
    <w:lvl w:ilvl="0" w:tplc="04090009">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783107"/>
    <w:multiLevelType w:val="hybridMultilevel"/>
    <w:tmpl w:val="26B2EC22"/>
    <w:lvl w:ilvl="0" w:tplc="04090009">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280DA3"/>
    <w:multiLevelType w:val="hybridMultilevel"/>
    <w:tmpl w:val="D5884DB2"/>
    <w:lvl w:ilvl="0" w:tplc="BC6AAE7E">
      <w:start w:val="1"/>
      <w:numFmt w:val="decimal"/>
      <w:lvlText w:val="Annex %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0"/>
  </w:num>
  <w:num w:numId="5">
    <w:abstractNumId w:val="5"/>
  </w:num>
  <w:num w:numId="6">
    <w:abstractNumId w:val="6"/>
  </w:num>
  <w:num w:numId="7">
    <w:abstractNumId w:val="9"/>
  </w:num>
  <w:num w:numId="8">
    <w:abstractNumId w:val="7"/>
  </w:num>
  <w:num w:numId="9">
    <w:abstractNumId w:val="4"/>
  </w:num>
  <w:num w:numId="10">
    <w:abstractNumId w:val="11"/>
  </w:num>
  <w:num w:numId="11">
    <w:abstractNumId w:val="1"/>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0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8673"/>
  </w:hdrShapeDefaults>
  <w:footnotePr>
    <w:numFmt w:val="chicago"/>
    <w:numRestart w:val="eachPage"/>
    <w:footnote w:id="-1"/>
    <w:footnote w:id="0"/>
  </w:footnotePr>
  <w:endnotePr>
    <w:endnote w:id="-1"/>
    <w:endnote w:id="0"/>
  </w:endnotePr>
  <w:compat/>
  <w:docVars>
    <w:docVar w:name="IPSpeechSession$" w:val="FALSE"/>
    <w:docVar w:name="IPSpeechSessionSaved$" w:val="FALSE"/>
  </w:docVars>
  <w:rsids>
    <w:rsidRoot w:val="0065281B"/>
    <w:rsid w:val="000008F8"/>
    <w:rsid w:val="000023DD"/>
    <w:rsid w:val="00007056"/>
    <w:rsid w:val="000120B1"/>
    <w:rsid w:val="0001316B"/>
    <w:rsid w:val="00013244"/>
    <w:rsid w:val="00021E95"/>
    <w:rsid w:val="0002231D"/>
    <w:rsid w:val="0002314E"/>
    <w:rsid w:val="00031147"/>
    <w:rsid w:val="00031E75"/>
    <w:rsid w:val="000327F1"/>
    <w:rsid w:val="00036889"/>
    <w:rsid w:val="00041523"/>
    <w:rsid w:val="000418B7"/>
    <w:rsid w:val="000448C7"/>
    <w:rsid w:val="0005163C"/>
    <w:rsid w:val="00052032"/>
    <w:rsid w:val="000543E5"/>
    <w:rsid w:val="00060580"/>
    <w:rsid w:val="00060677"/>
    <w:rsid w:val="00061753"/>
    <w:rsid w:val="00062DD1"/>
    <w:rsid w:val="00065BE8"/>
    <w:rsid w:val="00067D35"/>
    <w:rsid w:val="00077616"/>
    <w:rsid w:val="00077890"/>
    <w:rsid w:val="00080477"/>
    <w:rsid w:val="00084F7E"/>
    <w:rsid w:val="00087C24"/>
    <w:rsid w:val="00090D7A"/>
    <w:rsid w:val="00091ACD"/>
    <w:rsid w:val="00092F5C"/>
    <w:rsid w:val="00093749"/>
    <w:rsid w:val="000956E6"/>
    <w:rsid w:val="00096E7A"/>
    <w:rsid w:val="000A0337"/>
    <w:rsid w:val="000A15BE"/>
    <w:rsid w:val="000A1936"/>
    <w:rsid w:val="000A1E6E"/>
    <w:rsid w:val="000A5DB2"/>
    <w:rsid w:val="000A765D"/>
    <w:rsid w:val="000B2CA0"/>
    <w:rsid w:val="000B36B7"/>
    <w:rsid w:val="000B4279"/>
    <w:rsid w:val="000B4C9C"/>
    <w:rsid w:val="000C4859"/>
    <w:rsid w:val="000C5B37"/>
    <w:rsid w:val="000C6317"/>
    <w:rsid w:val="000C637F"/>
    <w:rsid w:val="000D422D"/>
    <w:rsid w:val="000E384C"/>
    <w:rsid w:val="000F1785"/>
    <w:rsid w:val="000F3B50"/>
    <w:rsid w:val="000F45D8"/>
    <w:rsid w:val="0010028C"/>
    <w:rsid w:val="0010054E"/>
    <w:rsid w:val="001040AD"/>
    <w:rsid w:val="00105E46"/>
    <w:rsid w:val="00111C4C"/>
    <w:rsid w:val="001131B2"/>
    <w:rsid w:val="00114082"/>
    <w:rsid w:val="0011710D"/>
    <w:rsid w:val="001211BF"/>
    <w:rsid w:val="001256C6"/>
    <w:rsid w:val="001260B4"/>
    <w:rsid w:val="00130154"/>
    <w:rsid w:val="0013699F"/>
    <w:rsid w:val="00141BBE"/>
    <w:rsid w:val="00147958"/>
    <w:rsid w:val="00147FCE"/>
    <w:rsid w:val="00151315"/>
    <w:rsid w:val="0016384F"/>
    <w:rsid w:val="00171CC4"/>
    <w:rsid w:val="0017671F"/>
    <w:rsid w:val="00190529"/>
    <w:rsid w:val="001A4B39"/>
    <w:rsid w:val="001B00A9"/>
    <w:rsid w:val="001B0AE2"/>
    <w:rsid w:val="001B5752"/>
    <w:rsid w:val="001C030A"/>
    <w:rsid w:val="001C681B"/>
    <w:rsid w:val="001D204F"/>
    <w:rsid w:val="001D218C"/>
    <w:rsid w:val="001D3D23"/>
    <w:rsid w:val="001E6C71"/>
    <w:rsid w:val="00201F6C"/>
    <w:rsid w:val="002107CB"/>
    <w:rsid w:val="00210EF9"/>
    <w:rsid w:val="002120D9"/>
    <w:rsid w:val="00213852"/>
    <w:rsid w:val="00215D1D"/>
    <w:rsid w:val="002164A2"/>
    <w:rsid w:val="002166F2"/>
    <w:rsid w:val="0023155D"/>
    <w:rsid w:val="0023427D"/>
    <w:rsid w:val="00234914"/>
    <w:rsid w:val="002419A8"/>
    <w:rsid w:val="00243326"/>
    <w:rsid w:val="00247CD3"/>
    <w:rsid w:val="002535BF"/>
    <w:rsid w:val="00256EB8"/>
    <w:rsid w:val="00257746"/>
    <w:rsid w:val="002635D6"/>
    <w:rsid w:val="00264875"/>
    <w:rsid w:val="0026574B"/>
    <w:rsid w:val="00266DE9"/>
    <w:rsid w:val="00270D8F"/>
    <w:rsid w:val="00273D61"/>
    <w:rsid w:val="0027635A"/>
    <w:rsid w:val="002812B8"/>
    <w:rsid w:val="002812DC"/>
    <w:rsid w:val="0028200D"/>
    <w:rsid w:val="002824F3"/>
    <w:rsid w:val="00294FCC"/>
    <w:rsid w:val="002971B0"/>
    <w:rsid w:val="00297CE7"/>
    <w:rsid w:val="00297D4D"/>
    <w:rsid w:val="002A2F42"/>
    <w:rsid w:val="002A3904"/>
    <w:rsid w:val="002A5A97"/>
    <w:rsid w:val="002A5F25"/>
    <w:rsid w:val="002B102C"/>
    <w:rsid w:val="002B208F"/>
    <w:rsid w:val="002B75F1"/>
    <w:rsid w:val="002C4BD1"/>
    <w:rsid w:val="002C634C"/>
    <w:rsid w:val="002D09D8"/>
    <w:rsid w:val="002D1DCD"/>
    <w:rsid w:val="002E2841"/>
    <w:rsid w:val="002E3DF2"/>
    <w:rsid w:val="002E4C97"/>
    <w:rsid w:val="002F294A"/>
    <w:rsid w:val="002F5B07"/>
    <w:rsid w:val="002F6949"/>
    <w:rsid w:val="003002B1"/>
    <w:rsid w:val="00306E1A"/>
    <w:rsid w:val="00311667"/>
    <w:rsid w:val="00321B29"/>
    <w:rsid w:val="00323B8A"/>
    <w:rsid w:val="00327597"/>
    <w:rsid w:val="0033182F"/>
    <w:rsid w:val="00332475"/>
    <w:rsid w:val="003370FE"/>
    <w:rsid w:val="00340AA9"/>
    <w:rsid w:val="00355477"/>
    <w:rsid w:val="00360ABC"/>
    <w:rsid w:val="00360DAA"/>
    <w:rsid w:val="003628F6"/>
    <w:rsid w:val="00363390"/>
    <w:rsid w:val="00371F66"/>
    <w:rsid w:val="0037305A"/>
    <w:rsid w:val="00374AA9"/>
    <w:rsid w:val="003752DD"/>
    <w:rsid w:val="00381F72"/>
    <w:rsid w:val="003825E2"/>
    <w:rsid w:val="00382A44"/>
    <w:rsid w:val="0038437E"/>
    <w:rsid w:val="00387C72"/>
    <w:rsid w:val="00387FC6"/>
    <w:rsid w:val="00387FF4"/>
    <w:rsid w:val="00390D35"/>
    <w:rsid w:val="0039404D"/>
    <w:rsid w:val="0039516D"/>
    <w:rsid w:val="003A4D2C"/>
    <w:rsid w:val="003A4DB9"/>
    <w:rsid w:val="003A51C2"/>
    <w:rsid w:val="003A5C42"/>
    <w:rsid w:val="003B058A"/>
    <w:rsid w:val="003B7AF5"/>
    <w:rsid w:val="003C2685"/>
    <w:rsid w:val="003C3426"/>
    <w:rsid w:val="003D1ACC"/>
    <w:rsid w:val="003D32FC"/>
    <w:rsid w:val="003D74F6"/>
    <w:rsid w:val="003E43EB"/>
    <w:rsid w:val="003E691C"/>
    <w:rsid w:val="003F0F04"/>
    <w:rsid w:val="003F553F"/>
    <w:rsid w:val="00404303"/>
    <w:rsid w:val="004050ED"/>
    <w:rsid w:val="0040544E"/>
    <w:rsid w:val="004211B3"/>
    <w:rsid w:val="004247B0"/>
    <w:rsid w:val="00425834"/>
    <w:rsid w:val="00425C84"/>
    <w:rsid w:val="00430320"/>
    <w:rsid w:val="004319DE"/>
    <w:rsid w:val="00436E03"/>
    <w:rsid w:val="004418D6"/>
    <w:rsid w:val="00441C90"/>
    <w:rsid w:val="00441D6D"/>
    <w:rsid w:val="00442CF6"/>
    <w:rsid w:val="0044719A"/>
    <w:rsid w:val="00452DFB"/>
    <w:rsid w:val="00453B3B"/>
    <w:rsid w:val="004540B7"/>
    <w:rsid w:val="0045471F"/>
    <w:rsid w:val="00457F79"/>
    <w:rsid w:val="004637D3"/>
    <w:rsid w:val="00481982"/>
    <w:rsid w:val="004827CC"/>
    <w:rsid w:val="0048296E"/>
    <w:rsid w:val="00486668"/>
    <w:rsid w:val="0049025F"/>
    <w:rsid w:val="00490E0F"/>
    <w:rsid w:val="004A1E84"/>
    <w:rsid w:val="004B4EE4"/>
    <w:rsid w:val="004B675C"/>
    <w:rsid w:val="004B6C3E"/>
    <w:rsid w:val="004C0734"/>
    <w:rsid w:val="004C1B1C"/>
    <w:rsid w:val="004C352A"/>
    <w:rsid w:val="004C7B6D"/>
    <w:rsid w:val="004D2246"/>
    <w:rsid w:val="004E3850"/>
    <w:rsid w:val="004E461B"/>
    <w:rsid w:val="004E4E50"/>
    <w:rsid w:val="004E5520"/>
    <w:rsid w:val="004F5173"/>
    <w:rsid w:val="004F52AC"/>
    <w:rsid w:val="00500649"/>
    <w:rsid w:val="005126FA"/>
    <w:rsid w:val="005127C6"/>
    <w:rsid w:val="00513301"/>
    <w:rsid w:val="00516A21"/>
    <w:rsid w:val="005172D3"/>
    <w:rsid w:val="00517D39"/>
    <w:rsid w:val="00523CBA"/>
    <w:rsid w:val="0052481E"/>
    <w:rsid w:val="00532532"/>
    <w:rsid w:val="00540EC3"/>
    <w:rsid w:val="00542DCB"/>
    <w:rsid w:val="00552F7D"/>
    <w:rsid w:val="00554496"/>
    <w:rsid w:val="0056244E"/>
    <w:rsid w:val="00562458"/>
    <w:rsid w:val="0056389A"/>
    <w:rsid w:val="005639E6"/>
    <w:rsid w:val="005646DA"/>
    <w:rsid w:val="005664EE"/>
    <w:rsid w:val="00571145"/>
    <w:rsid w:val="005729AA"/>
    <w:rsid w:val="00575D2D"/>
    <w:rsid w:val="00577D06"/>
    <w:rsid w:val="00580F05"/>
    <w:rsid w:val="005811BB"/>
    <w:rsid w:val="005815AA"/>
    <w:rsid w:val="00581A9F"/>
    <w:rsid w:val="00581D02"/>
    <w:rsid w:val="005822AE"/>
    <w:rsid w:val="0058543C"/>
    <w:rsid w:val="00586294"/>
    <w:rsid w:val="00591B51"/>
    <w:rsid w:val="00593E0C"/>
    <w:rsid w:val="00595B3F"/>
    <w:rsid w:val="0059683F"/>
    <w:rsid w:val="005A3620"/>
    <w:rsid w:val="005B0F23"/>
    <w:rsid w:val="005B1C26"/>
    <w:rsid w:val="005C3256"/>
    <w:rsid w:val="005C45A7"/>
    <w:rsid w:val="005C6712"/>
    <w:rsid w:val="005C67BA"/>
    <w:rsid w:val="005D1680"/>
    <w:rsid w:val="005D6531"/>
    <w:rsid w:val="005E13FC"/>
    <w:rsid w:val="005E166F"/>
    <w:rsid w:val="005E22D1"/>
    <w:rsid w:val="005E34F7"/>
    <w:rsid w:val="005E5EF6"/>
    <w:rsid w:val="0060017D"/>
    <w:rsid w:val="0060522A"/>
    <w:rsid w:val="00607F0A"/>
    <w:rsid w:val="006213BC"/>
    <w:rsid w:val="00627626"/>
    <w:rsid w:val="006306B4"/>
    <w:rsid w:val="00632C42"/>
    <w:rsid w:val="00640ADA"/>
    <w:rsid w:val="00643669"/>
    <w:rsid w:val="00644C2E"/>
    <w:rsid w:val="0065281B"/>
    <w:rsid w:val="00652D75"/>
    <w:rsid w:val="00653E28"/>
    <w:rsid w:val="006665AF"/>
    <w:rsid w:val="00666BDE"/>
    <w:rsid w:val="006740E2"/>
    <w:rsid w:val="00677FAD"/>
    <w:rsid w:val="00683278"/>
    <w:rsid w:val="006A3616"/>
    <w:rsid w:val="006B1CB2"/>
    <w:rsid w:val="006B4EDE"/>
    <w:rsid w:val="006B6311"/>
    <w:rsid w:val="006B69DA"/>
    <w:rsid w:val="006B6F49"/>
    <w:rsid w:val="006C024D"/>
    <w:rsid w:val="006C060B"/>
    <w:rsid w:val="006C0A92"/>
    <w:rsid w:val="006D78EB"/>
    <w:rsid w:val="006E3ED4"/>
    <w:rsid w:val="006F4E69"/>
    <w:rsid w:val="006F52EE"/>
    <w:rsid w:val="006F6B6C"/>
    <w:rsid w:val="006F7A9C"/>
    <w:rsid w:val="0070062D"/>
    <w:rsid w:val="00705254"/>
    <w:rsid w:val="00706AA7"/>
    <w:rsid w:val="0071240C"/>
    <w:rsid w:val="00720D5F"/>
    <w:rsid w:val="007249F1"/>
    <w:rsid w:val="00724B10"/>
    <w:rsid w:val="00735B61"/>
    <w:rsid w:val="00744D77"/>
    <w:rsid w:val="00751084"/>
    <w:rsid w:val="00751F7E"/>
    <w:rsid w:val="00756002"/>
    <w:rsid w:val="00773324"/>
    <w:rsid w:val="00775813"/>
    <w:rsid w:val="007768E9"/>
    <w:rsid w:val="0077721E"/>
    <w:rsid w:val="007802D0"/>
    <w:rsid w:val="00783DC7"/>
    <w:rsid w:val="00787956"/>
    <w:rsid w:val="00793F0F"/>
    <w:rsid w:val="007946EC"/>
    <w:rsid w:val="00794931"/>
    <w:rsid w:val="007A2BFC"/>
    <w:rsid w:val="007B0EA9"/>
    <w:rsid w:val="007B1E5B"/>
    <w:rsid w:val="007B3C6F"/>
    <w:rsid w:val="007B6156"/>
    <w:rsid w:val="007B6D76"/>
    <w:rsid w:val="007B6E23"/>
    <w:rsid w:val="007C158A"/>
    <w:rsid w:val="007C1A1E"/>
    <w:rsid w:val="007C3149"/>
    <w:rsid w:val="007C4503"/>
    <w:rsid w:val="007C4DA2"/>
    <w:rsid w:val="007C5157"/>
    <w:rsid w:val="007C56CF"/>
    <w:rsid w:val="007C6720"/>
    <w:rsid w:val="007C6AEB"/>
    <w:rsid w:val="007D4D00"/>
    <w:rsid w:val="007D618F"/>
    <w:rsid w:val="007D6EEC"/>
    <w:rsid w:val="007D7DBD"/>
    <w:rsid w:val="007E4B8F"/>
    <w:rsid w:val="007E5AD4"/>
    <w:rsid w:val="007E5B86"/>
    <w:rsid w:val="007F10F0"/>
    <w:rsid w:val="007F1C5A"/>
    <w:rsid w:val="007F2689"/>
    <w:rsid w:val="007F4776"/>
    <w:rsid w:val="007F5166"/>
    <w:rsid w:val="007F718B"/>
    <w:rsid w:val="008017BF"/>
    <w:rsid w:val="00801968"/>
    <w:rsid w:val="00803E52"/>
    <w:rsid w:val="008058EF"/>
    <w:rsid w:val="008061C4"/>
    <w:rsid w:val="00806E2B"/>
    <w:rsid w:val="008127E0"/>
    <w:rsid w:val="008169B1"/>
    <w:rsid w:val="00820480"/>
    <w:rsid w:val="008207C6"/>
    <w:rsid w:val="008243A8"/>
    <w:rsid w:val="008273C9"/>
    <w:rsid w:val="00827F1D"/>
    <w:rsid w:val="008340FD"/>
    <w:rsid w:val="008512C6"/>
    <w:rsid w:val="00855958"/>
    <w:rsid w:val="00860881"/>
    <w:rsid w:val="00864B2F"/>
    <w:rsid w:val="00867361"/>
    <w:rsid w:val="00867511"/>
    <w:rsid w:val="00870339"/>
    <w:rsid w:val="008734B0"/>
    <w:rsid w:val="00877378"/>
    <w:rsid w:val="00877F79"/>
    <w:rsid w:val="00880A25"/>
    <w:rsid w:val="0088327D"/>
    <w:rsid w:val="00886FDD"/>
    <w:rsid w:val="008A0E43"/>
    <w:rsid w:val="008A2F07"/>
    <w:rsid w:val="008B055C"/>
    <w:rsid w:val="008B3747"/>
    <w:rsid w:val="008B5D4B"/>
    <w:rsid w:val="008C2C06"/>
    <w:rsid w:val="008C5777"/>
    <w:rsid w:val="008D7A91"/>
    <w:rsid w:val="008E32AD"/>
    <w:rsid w:val="008E4F99"/>
    <w:rsid w:val="008E68BA"/>
    <w:rsid w:val="008E7D49"/>
    <w:rsid w:val="008E7F3A"/>
    <w:rsid w:val="008F1098"/>
    <w:rsid w:val="008F3E6E"/>
    <w:rsid w:val="008F4D73"/>
    <w:rsid w:val="0090066A"/>
    <w:rsid w:val="009008C6"/>
    <w:rsid w:val="00900CE3"/>
    <w:rsid w:val="00904BB2"/>
    <w:rsid w:val="0091218E"/>
    <w:rsid w:val="00912A20"/>
    <w:rsid w:val="0091651F"/>
    <w:rsid w:val="0091778E"/>
    <w:rsid w:val="00917B9E"/>
    <w:rsid w:val="00922727"/>
    <w:rsid w:val="009233A9"/>
    <w:rsid w:val="00923FC5"/>
    <w:rsid w:val="00925E5F"/>
    <w:rsid w:val="00926D68"/>
    <w:rsid w:val="00933E00"/>
    <w:rsid w:val="00935C7E"/>
    <w:rsid w:val="009368E2"/>
    <w:rsid w:val="009424BE"/>
    <w:rsid w:val="009457D2"/>
    <w:rsid w:val="009472A1"/>
    <w:rsid w:val="0095081D"/>
    <w:rsid w:val="00952AEA"/>
    <w:rsid w:val="00952B70"/>
    <w:rsid w:val="0095391D"/>
    <w:rsid w:val="009543F7"/>
    <w:rsid w:val="0095527D"/>
    <w:rsid w:val="00955FFF"/>
    <w:rsid w:val="0095713F"/>
    <w:rsid w:val="00960957"/>
    <w:rsid w:val="00963B53"/>
    <w:rsid w:val="009650CB"/>
    <w:rsid w:val="0096560F"/>
    <w:rsid w:val="00966470"/>
    <w:rsid w:val="00971760"/>
    <w:rsid w:val="00981372"/>
    <w:rsid w:val="0098405C"/>
    <w:rsid w:val="0099067B"/>
    <w:rsid w:val="00990FFB"/>
    <w:rsid w:val="00992DE7"/>
    <w:rsid w:val="00993D26"/>
    <w:rsid w:val="00994BB9"/>
    <w:rsid w:val="009A44F1"/>
    <w:rsid w:val="009A6AB7"/>
    <w:rsid w:val="009C16F2"/>
    <w:rsid w:val="009C74EC"/>
    <w:rsid w:val="009D25EC"/>
    <w:rsid w:val="009E0AC3"/>
    <w:rsid w:val="009E0E0F"/>
    <w:rsid w:val="009F26D1"/>
    <w:rsid w:val="00A02B1C"/>
    <w:rsid w:val="00A03C68"/>
    <w:rsid w:val="00A0427C"/>
    <w:rsid w:val="00A04672"/>
    <w:rsid w:val="00A07EE6"/>
    <w:rsid w:val="00A1152D"/>
    <w:rsid w:val="00A14652"/>
    <w:rsid w:val="00A203DD"/>
    <w:rsid w:val="00A20C80"/>
    <w:rsid w:val="00A21B3E"/>
    <w:rsid w:val="00A32135"/>
    <w:rsid w:val="00A3433F"/>
    <w:rsid w:val="00A40E15"/>
    <w:rsid w:val="00A43BF4"/>
    <w:rsid w:val="00A47A11"/>
    <w:rsid w:val="00A50303"/>
    <w:rsid w:val="00A55AAF"/>
    <w:rsid w:val="00A621E7"/>
    <w:rsid w:val="00A64438"/>
    <w:rsid w:val="00A662C2"/>
    <w:rsid w:val="00A67D78"/>
    <w:rsid w:val="00A722D5"/>
    <w:rsid w:val="00A72562"/>
    <w:rsid w:val="00A727DC"/>
    <w:rsid w:val="00A73A8B"/>
    <w:rsid w:val="00A86591"/>
    <w:rsid w:val="00A906FC"/>
    <w:rsid w:val="00A91FEF"/>
    <w:rsid w:val="00A93EBD"/>
    <w:rsid w:val="00AA69DB"/>
    <w:rsid w:val="00AC13E2"/>
    <w:rsid w:val="00AC5B14"/>
    <w:rsid w:val="00AD3C4C"/>
    <w:rsid w:val="00AD54EC"/>
    <w:rsid w:val="00AD5EB4"/>
    <w:rsid w:val="00AE0833"/>
    <w:rsid w:val="00AE4689"/>
    <w:rsid w:val="00AF3F0C"/>
    <w:rsid w:val="00AF6211"/>
    <w:rsid w:val="00B03E7B"/>
    <w:rsid w:val="00B0478E"/>
    <w:rsid w:val="00B207AA"/>
    <w:rsid w:val="00B2383D"/>
    <w:rsid w:val="00B23907"/>
    <w:rsid w:val="00B31408"/>
    <w:rsid w:val="00B32E0C"/>
    <w:rsid w:val="00B42762"/>
    <w:rsid w:val="00B4739D"/>
    <w:rsid w:val="00B520BB"/>
    <w:rsid w:val="00B5766B"/>
    <w:rsid w:val="00B579FC"/>
    <w:rsid w:val="00B60D1B"/>
    <w:rsid w:val="00B62169"/>
    <w:rsid w:val="00B635A5"/>
    <w:rsid w:val="00B64F3D"/>
    <w:rsid w:val="00B66AD7"/>
    <w:rsid w:val="00B7351B"/>
    <w:rsid w:val="00B76950"/>
    <w:rsid w:val="00B82B27"/>
    <w:rsid w:val="00B93E33"/>
    <w:rsid w:val="00B96F7D"/>
    <w:rsid w:val="00BA04DD"/>
    <w:rsid w:val="00BA349A"/>
    <w:rsid w:val="00BA5DCB"/>
    <w:rsid w:val="00BB29D2"/>
    <w:rsid w:val="00BC1AA8"/>
    <w:rsid w:val="00BC473F"/>
    <w:rsid w:val="00BD50F2"/>
    <w:rsid w:val="00BD6B46"/>
    <w:rsid w:val="00BE1FBA"/>
    <w:rsid w:val="00BE28C8"/>
    <w:rsid w:val="00BF3B65"/>
    <w:rsid w:val="00BF7DA6"/>
    <w:rsid w:val="00C030B7"/>
    <w:rsid w:val="00C04D82"/>
    <w:rsid w:val="00C1113A"/>
    <w:rsid w:val="00C112C4"/>
    <w:rsid w:val="00C120A6"/>
    <w:rsid w:val="00C17795"/>
    <w:rsid w:val="00C31A37"/>
    <w:rsid w:val="00C3366D"/>
    <w:rsid w:val="00C3382A"/>
    <w:rsid w:val="00C40B10"/>
    <w:rsid w:val="00C426F1"/>
    <w:rsid w:val="00C43095"/>
    <w:rsid w:val="00C450B3"/>
    <w:rsid w:val="00C524FF"/>
    <w:rsid w:val="00C53AD0"/>
    <w:rsid w:val="00C55180"/>
    <w:rsid w:val="00C55BFF"/>
    <w:rsid w:val="00C60F85"/>
    <w:rsid w:val="00C61919"/>
    <w:rsid w:val="00C62DC1"/>
    <w:rsid w:val="00C63D4A"/>
    <w:rsid w:val="00C6669E"/>
    <w:rsid w:val="00C72182"/>
    <w:rsid w:val="00C7592F"/>
    <w:rsid w:val="00C76528"/>
    <w:rsid w:val="00C76AB7"/>
    <w:rsid w:val="00C77764"/>
    <w:rsid w:val="00C81BC7"/>
    <w:rsid w:val="00C836F6"/>
    <w:rsid w:val="00C84084"/>
    <w:rsid w:val="00C93F59"/>
    <w:rsid w:val="00CA5F8C"/>
    <w:rsid w:val="00CC1700"/>
    <w:rsid w:val="00CC2EFB"/>
    <w:rsid w:val="00CC461F"/>
    <w:rsid w:val="00CD279B"/>
    <w:rsid w:val="00CD63EE"/>
    <w:rsid w:val="00CE5A91"/>
    <w:rsid w:val="00CE6729"/>
    <w:rsid w:val="00CE6F4E"/>
    <w:rsid w:val="00CE72F9"/>
    <w:rsid w:val="00CE7F69"/>
    <w:rsid w:val="00CF4EF7"/>
    <w:rsid w:val="00D03A65"/>
    <w:rsid w:val="00D0591B"/>
    <w:rsid w:val="00D076C9"/>
    <w:rsid w:val="00D13409"/>
    <w:rsid w:val="00D244CE"/>
    <w:rsid w:val="00D26D7E"/>
    <w:rsid w:val="00D3172B"/>
    <w:rsid w:val="00D32D4B"/>
    <w:rsid w:val="00D36C57"/>
    <w:rsid w:val="00D37DF8"/>
    <w:rsid w:val="00D448E3"/>
    <w:rsid w:val="00D51E97"/>
    <w:rsid w:val="00D523ED"/>
    <w:rsid w:val="00D52FAE"/>
    <w:rsid w:val="00D5334E"/>
    <w:rsid w:val="00D54B7E"/>
    <w:rsid w:val="00D5500D"/>
    <w:rsid w:val="00D57248"/>
    <w:rsid w:val="00D60CA6"/>
    <w:rsid w:val="00D6707F"/>
    <w:rsid w:val="00D70820"/>
    <w:rsid w:val="00D73B12"/>
    <w:rsid w:val="00D85189"/>
    <w:rsid w:val="00D866A4"/>
    <w:rsid w:val="00D95EE7"/>
    <w:rsid w:val="00D975C1"/>
    <w:rsid w:val="00DA0952"/>
    <w:rsid w:val="00DA0C36"/>
    <w:rsid w:val="00DA357D"/>
    <w:rsid w:val="00DA506C"/>
    <w:rsid w:val="00DA50C4"/>
    <w:rsid w:val="00DA5A97"/>
    <w:rsid w:val="00DA5EF8"/>
    <w:rsid w:val="00DA67C7"/>
    <w:rsid w:val="00DB585F"/>
    <w:rsid w:val="00DC3EF0"/>
    <w:rsid w:val="00DC5D5A"/>
    <w:rsid w:val="00DD386F"/>
    <w:rsid w:val="00DD526E"/>
    <w:rsid w:val="00DD5886"/>
    <w:rsid w:val="00DE637A"/>
    <w:rsid w:val="00DE6E77"/>
    <w:rsid w:val="00DF0E87"/>
    <w:rsid w:val="00DF3A56"/>
    <w:rsid w:val="00DF4183"/>
    <w:rsid w:val="00DF41A3"/>
    <w:rsid w:val="00DF4EB3"/>
    <w:rsid w:val="00E028D0"/>
    <w:rsid w:val="00E055D9"/>
    <w:rsid w:val="00E05CEF"/>
    <w:rsid w:val="00E078C7"/>
    <w:rsid w:val="00E10B1F"/>
    <w:rsid w:val="00E112E9"/>
    <w:rsid w:val="00E222EC"/>
    <w:rsid w:val="00E24F0B"/>
    <w:rsid w:val="00E33755"/>
    <w:rsid w:val="00E33870"/>
    <w:rsid w:val="00E35B3D"/>
    <w:rsid w:val="00E43D5A"/>
    <w:rsid w:val="00E43F86"/>
    <w:rsid w:val="00E46080"/>
    <w:rsid w:val="00E46B60"/>
    <w:rsid w:val="00E47F91"/>
    <w:rsid w:val="00E5072C"/>
    <w:rsid w:val="00E52976"/>
    <w:rsid w:val="00E56CC7"/>
    <w:rsid w:val="00E5774B"/>
    <w:rsid w:val="00E66428"/>
    <w:rsid w:val="00E669FD"/>
    <w:rsid w:val="00E743FE"/>
    <w:rsid w:val="00E845C4"/>
    <w:rsid w:val="00E8685D"/>
    <w:rsid w:val="00E87A73"/>
    <w:rsid w:val="00E90118"/>
    <w:rsid w:val="00E94653"/>
    <w:rsid w:val="00E94D86"/>
    <w:rsid w:val="00EA0D0F"/>
    <w:rsid w:val="00EA2E0D"/>
    <w:rsid w:val="00EA378E"/>
    <w:rsid w:val="00EC191D"/>
    <w:rsid w:val="00EC4F71"/>
    <w:rsid w:val="00ED00F7"/>
    <w:rsid w:val="00ED0E4F"/>
    <w:rsid w:val="00ED3C77"/>
    <w:rsid w:val="00ED7086"/>
    <w:rsid w:val="00EF2966"/>
    <w:rsid w:val="00EF57EA"/>
    <w:rsid w:val="00EF73C0"/>
    <w:rsid w:val="00F0070A"/>
    <w:rsid w:val="00F02141"/>
    <w:rsid w:val="00F07247"/>
    <w:rsid w:val="00F22AAB"/>
    <w:rsid w:val="00F267BD"/>
    <w:rsid w:val="00F32C22"/>
    <w:rsid w:val="00F33E75"/>
    <w:rsid w:val="00F36CEE"/>
    <w:rsid w:val="00F37CC0"/>
    <w:rsid w:val="00F40B42"/>
    <w:rsid w:val="00F40F1C"/>
    <w:rsid w:val="00F470AD"/>
    <w:rsid w:val="00F47A7B"/>
    <w:rsid w:val="00F56AD5"/>
    <w:rsid w:val="00F63D23"/>
    <w:rsid w:val="00F72BCE"/>
    <w:rsid w:val="00F73721"/>
    <w:rsid w:val="00F748ED"/>
    <w:rsid w:val="00F77BB9"/>
    <w:rsid w:val="00F84CD1"/>
    <w:rsid w:val="00F9061F"/>
    <w:rsid w:val="00F9114C"/>
    <w:rsid w:val="00F91B28"/>
    <w:rsid w:val="00FA303C"/>
    <w:rsid w:val="00FA387C"/>
    <w:rsid w:val="00FA41BB"/>
    <w:rsid w:val="00FB0371"/>
    <w:rsid w:val="00FB4FF3"/>
    <w:rsid w:val="00FC0488"/>
    <w:rsid w:val="00FC065A"/>
    <w:rsid w:val="00FC307A"/>
    <w:rsid w:val="00FC62BE"/>
    <w:rsid w:val="00FD6916"/>
    <w:rsid w:val="00FF4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94A"/>
    <w:rPr>
      <w:sz w:val="18"/>
      <w:lang w:val="en-GB"/>
    </w:rPr>
  </w:style>
  <w:style w:type="paragraph" w:styleId="Heading1">
    <w:name w:val="heading 1"/>
    <w:basedOn w:val="BoxTitle"/>
    <w:next w:val="Normal"/>
    <w:link w:val="Heading1Char"/>
    <w:qFormat/>
    <w:rsid w:val="007E4B8F"/>
    <w:pPr>
      <w:keepNext/>
      <w:tabs>
        <w:tab w:val="clear" w:pos="10132"/>
        <w:tab w:val="right" w:pos="10348"/>
      </w:tabs>
      <w:spacing w:before="240" w:after="120"/>
      <w:outlineLvl w:val="0"/>
    </w:pPr>
    <w:rPr>
      <w:bCs/>
      <w:color w:val="00408B"/>
      <w:sz w:val="24"/>
      <w:szCs w:val="24"/>
    </w:rPr>
  </w:style>
  <w:style w:type="paragraph" w:styleId="Heading2">
    <w:name w:val="heading 2"/>
    <w:basedOn w:val="Normal"/>
    <w:next w:val="Normal"/>
    <w:link w:val="Heading2Char"/>
    <w:qFormat/>
    <w:rsid w:val="00952B70"/>
    <w:pPr>
      <w:keepNext/>
      <w:tabs>
        <w:tab w:val="left" w:pos="993"/>
      </w:tabs>
      <w:jc w:val="both"/>
      <w:outlineLvl w:val="1"/>
    </w:pPr>
    <w:rPr>
      <w:rFonts w:ascii="Arial" w:hAnsi="Arial" w:cs="Arial"/>
      <w:b/>
      <w:bCs/>
      <w:sz w:val="20"/>
    </w:rPr>
  </w:style>
  <w:style w:type="paragraph" w:styleId="Heading3">
    <w:name w:val="heading 3"/>
    <w:basedOn w:val="Normal"/>
    <w:next w:val="Normal"/>
    <w:link w:val="Heading3Char"/>
    <w:qFormat/>
    <w:rsid w:val="000956E6"/>
    <w:pPr>
      <w:keepNext/>
      <w:tabs>
        <w:tab w:val="left" w:pos="993"/>
      </w:tabs>
      <w:ind w:firstLine="720"/>
      <w:jc w:val="both"/>
      <w:outlineLvl w:val="2"/>
    </w:pPr>
    <w:rPr>
      <w:b/>
      <w:bCs/>
      <w:sz w:val="24"/>
      <w:szCs w:val="24"/>
    </w:rPr>
  </w:style>
  <w:style w:type="paragraph" w:styleId="Heading4">
    <w:name w:val="heading 4"/>
    <w:basedOn w:val="Normal"/>
    <w:next w:val="Normal"/>
    <w:link w:val="Heading4Char"/>
    <w:qFormat/>
    <w:rsid w:val="000956E6"/>
    <w:pPr>
      <w:keepNext/>
      <w:tabs>
        <w:tab w:val="center" w:pos="567"/>
      </w:tabs>
      <w:ind w:right="-1080"/>
      <w:outlineLvl w:val="3"/>
    </w:pPr>
    <w:rPr>
      <w:b/>
      <w:bCs/>
    </w:rPr>
  </w:style>
  <w:style w:type="paragraph" w:styleId="Heading5">
    <w:name w:val="heading 5"/>
    <w:basedOn w:val="Normal"/>
    <w:next w:val="Normal"/>
    <w:link w:val="Heading5Char"/>
    <w:qFormat/>
    <w:rsid w:val="000956E6"/>
    <w:pPr>
      <w:keepNext/>
      <w:outlineLvl w:val="4"/>
    </w:pPr>
    <w:rPr>
      <w:i/>
      <w:iCs/>
      <w:szCs w:val="18"/>
      <w:lang w:val="en-US"/>
    </w:rPr>
  </w:style>
  <w:style w:type="paragraph" w:styleId="Heading6">
    <w:name w:val="heading 6"/>
    <w:basedOn w:val="Normal"/>
    <w:next w:val="Normal"/>
    <w:link w:val="Heading6Char"/>
    <w:qFormat/>
    <w:rsid w:val="000956E6"/>
    <w:pPr>
      <w:keepNext/>
      <w:jc w:val="cente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B8F"/>
    <w:rPr>
      <w:rFonts w:ascii="Arial" w:hAnsi="Arial" w:cs="Arial"/>
      <w:b/>
      <w:bCs/>
      <w:color w:val="00408B"/>
      <w:sz w:val="24"/>
      <w:szCs w:val="24"/>
      <w:lang w:val="en-GB" w:eastAsia="en-US" w:bidi="ar-SA"/>
    </w:rPr>
  </w:style>
  <w:style w:type="character" w:customStyle="1" w:styleId="Heading2Char">
    <w:name w:val="Heading 2 Char"/>
    <w:basedOn w:val="DefaultParagraphFont"/>
    <w:link w:val="Heading2"/>
    <w:semiHidden/>
    <w:rsid w:val="00952B70"/>
    <w:rPr>
      <w:rFonts w:ascii="Arial" w:hAnsi="Arial" w:cs="Arial"/>
      <w:b/>
      <w:bCs/>
      <w:lang w:val="en-GB" w:eastAsia="en-US" w:bidi="ar-SA"/>
    </w:rPr>
  </w:style>
  <w:style w:type="character" w:customStyle="1" w:styleId="Heading3Char">
    <w:name w:val="Heading 3 Char"/>
    <w:basedOn w:val="DefaultParagraphFont"/>
    <w:link w:val="Heading3"/>
    <w:semiHidden/>
    <w:rsid w:val="00FC62BE"/>
    <w:rPr>
      <w:rFonts w:ascii="Cambria" w:hAnsi="Cambria" w:cs="Cambria"/>
      <w:b/>
      <w:bCs/>
      <w:sz w:val="26"/>
      <w:szCs w:val="26"/>
      <w:lang w:val="en-GB"/>
    </w:rPr>
  </w:style>
  <w:style w:type="character" w:customStyle="1" w:styleId="Heading4Char">
    <w:name w:val="Heading 4 Char"/>
    <w:basedOn w:val="DefaultParagraphFont"/>
    <w:link w:val="Heading4"/>
    <w:semiHidden/>
    <w:rsid w:val="00FC62BE"/>
    <w:rPr>
      <w:rFonts w:ascii="Calibri" w:hAnsi="Calibri" w:cs="Calibri"/>
      <w:b/>
      <w:bCs/>
      <w:sz w:val="28"/>
      <w:szCs w:val="28"/>
      <w:lang w:val="en-GB"/>
    </w:rPr>
  </w:style>
  <w:style w:type="character" w:customStyle="1" w:styleId="Heading5Char">
    <w:name w:val="Heading 5 Char"/>
    <w:basedOn w:val="DefaultParagraphFont"/>
    <w:link w:val="Heading5"/>
    <w:semiHidden/>
    <w:rsid w:val="00FC62BE"/>
    <w:rPr>
      <w:rFonts w:ascii="Calibri" w:hAnsi="Calibri" w:cs="Calibri"/>
      <w:b/>
      <w:bCs/>
      <w:i/>
      <w:iCs/>
      <w:sz w:val="26"/>
      <w:szCs w:val="26"/>
      <w:lang w:val="en-GB"/>
    </w:rPr>
  </w:style>
  <w:style w:type="character" w:customStyle="1" w:styleId="Heading6Char">
    <w:name w:val="Heading 6 Char"/>
    <w:basedOn w:val="DefaultParagraphFont"/>
    <w:link w:val="Heading6"/>
    <w:semiHidden/>
    <w:rsid w:val="00FC62BE"/>
    <w:rPr>
      <w:rFonts w:ascii="Calibri" w:hAnsi="Calibri" w:cs="Calibri"/>
      <w:b/>
      <w:bCs/>
      <w:sz w:val="22"/>
      <w:szCs w:val="22"/>
      <w:lang w:val="en-GB"/>
    </w:rPr>
  </w:style>
  <w:style w:type="character" w:styleId="Hyperlink">
    <w:name w:val="Hyperlink"/>
    <w:rsid w:val="00490E0F"/>
    <w:rPr>
      <w:color w:val="0000FF"/>
      <w:u w:val="none"/>
    </w:rPr>
  </w:style>
  <w:style w:type="paragraph" w:styleId="Footer">
    <w:name w:val="footer"/>
    <w:basedOn w:val="Normal"/>
    <w:link w:val="FooterChar"/>
    <w:rsid w:val="000956E6"/>
    <w:pPr>
      <w:tabs>
        <w:tab w:val="center" w:pos="4320"/>
        <w:tab w:val="right" w:pos="8640"/>
      </w:tabs>
    </w:pPr>
  </w:style>
  <w:style w:type="character" w:customStyle="1" w:styleId="FooterChar">
    <w:name w:val="Footer Char"/>
    <w:basedOn w:val="DefaultParagraphFont"/>
    <w:link w:val="Footer"/>
    <w:semiHidden/>
    <w:rsid w:val="00FC62BE"/>
    <w:rPr>
      <w:lang w:val="en-GB"/>
    </w:rPr>
  </w:style>
  <w:style w:type="character" w:styleId="PageNumber">
    <w:name w:val="page number"/>
    <w:basedOn w:val="DefaultParagraphFont"/>
    <w:rsid w:val="00C84084"/>
    <w:rPr>
      <w:rFonts w:ascii="Arial" w:hAnsi="Arial"/>
      <w:sz w:val="18"/>
    </w:rPr>
  </w:style>
  <w:style w:type="paragraph" w:styleId="Header">
    <w:name w:val="header"/>
    <w:basedOn w:val="Normal"/>
    <w:link w:val="HeaderChar"/>
    <w:rsid w:val="000956E6"/>
    <w:pPr>
      <w:tabs>
        <w:tab w:val="center" w:pos="4320"/>
        <w:tab w:val="right" w:pos="8640"/>
      </w:tabs>
    </w:pPr>
  </w:style>
  <w:style w:type="character" w:customStyle="1" w:styleId="HeaderChar">
    <w:name w:val="Header Char"/>
    <w:basedOn w:val="DefaultParagraphFont"/>
    <w:link w:val="Header"/>
    <w:semiHidden/>
    <w:rsid w:val="00FC62BE"/>
    <w:rPr>
      <w:lang w:val="en-GB"/>
    </w:rPr>
  </w:style>
  <w:style w:type="paragraph" w:styleId="Title">
    <w:name w:val="Title"/>
    <w:basedOn w:val="Normal"/>
    <w:link w:val="TitleChar"/>
    <w:qFormat/>
    <w:rsid w:val="000956E6"/>
    <w:pPr>
      <w:jc w:val="center"/>
    </w:pPr>
    <w:rPr>
      <w:b/>
      <w:bCs/>
      <w:sz w:val="28"/>
      <w:szCs w:val="28"/>
    </w:rPr>
  </w:style>
  <w:style w:type="character" w:customStyle="1" w:styleId="TitleChar">
    <w:name w:val="Title Char"/>
    <w:basedOn w:val="DefaultParagraphFont"/>
    <w:link w:val="Title"/>
    <w:rsid w:val="00FC62BE"/>
    <w:rPr>
      <w:rFonts w:ascii="Cambria" w:hAnsi="Cambria" w:cs="Cambria"/>
      <w:b/>
      <w:bCs/>
      <w:kern w:val="28"/>
      <w:sz w:val="32"/>
      <w:szCs w:val="32"/>
      <w:lang w:val="en-GB"/>
    </w:rPr>
  </w:style>
  <w:style w:type="paragraph" w:styleId="DocumentMap">
    <w:name w:val="Document Map"/>
    <w:basedOn w:val="Normal"/>
    <w:link w:val="DocumentMapChar"/>
    <w:semiHidden/>
    <w:rsid w:val="000956E6"/>
    <w:pPr>
      <w:shd w:val="clear" w:color="auto" w:fill="000080"/>
    </w:pPr>
    <w:rPr>
      <w:rFonts w:ascii="Tahoma" w:hAnsi="Tahoma" w:cs="Tahoma"/>
    </w:rPr>
  </w:style>
  <w:style w:type="character" w:customStyle="1" w:styleId="DocumentMapChar">
    <w:name w:val="Document Map Char"/>
    <w:basedOn w:val="DefaultParagraphFont"/>
    <w:link w:val="DocumentMap"/>
    <w:semiHidden/>
    <w:rsid w:val="00FC62BE"/>
    <w:rPr>
      <w:sz w:val="2"/>
      <w:szCs w:val="2"/>
      <w:lang w:val="en-GB"/>
    </w:rPr>
  </w:style>
  <w:style w:type="paragraph" w:styleId="BalloonText">
    <w:name w:val="Balloon Text"/>
    <w:basedOn w:val="Normal"/>
    <w:link w:val="BalloonTextChar"/>
    <w:semiHidden/>
    <w:rsid w:val="00A1152D"/>
    <w:rPr>
      <w:rFonts w:ascii="Tahoma" w:hAnsi="Tahoma" w:cs="Tahoma"/>
      <w:sz w:val="16"/>
      <w:szCs w:val="16"/>
    </w:rPr>
  </w:style>
  <w:style w:type="character" w:customStyle="1" w:styleId="BalloonTextChar">
    <w:name w:val="Balloon Text Char"/>
    <w:basedOn w:val="DefaultParagraphFont"/>
    <w:link w:val="BalloonText"/>
    <w:semiHidden/>
    <w:rsid w:val="00FC62BE"/>
    <w:rPr>
      <w:sz w:val="2"/>
      <w:szCs w:val="2"/>
      <w:lang w:val="en-GB"/>
    </w:rPr>
  </w:style>
  <w:style w:type="table" w:styleId="TableGrid">
    <w:name w:val="Table Grid"/>
    <w:basedOn w:val="TableNormal"/>
    <w:rsid w:val="007F1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D2246"/>
    <w:rPr>
      <w:color w:val="800080"/>
      <w:u w:val="single"/>
    </w:rPr>
  </w:style>
  <w:style w:type="character" w:customStyle="1" w:styleId="Instructions">
    <w:name w:val="Instructions"/>
    <w:rsid w:val="00DB585F"/>
    <w:rPr>
      <w:rFonts w:ascii="Times New Roman" w:hAnsi="Times New Roman"/>
      <w:i/>
      <w:color w:val="FF6969"/>
      <w:sz w:val="18"/>
      <w:szCs w:val="18"/>
    </w:rPr>
  </w:style>
  <w:style w:type="paragraph" w:customStyle="1" w:styleId="BoxTitle">
    <w:name w:val="BoxTitle"/>
    <w:basedOn w:val="Normal"/>
    <w:link w:val="BoxTitleChar"/>
    <w:rsid w:val="00CE6F4E"/>
    <w:pPr>
      <w:tabs>
        <w:tab w:val="right" w:pos="10132"/>
      </w:tabs>
    </w:pPr>
    <w:rPr>
      <w:rFonts w:ascii="Arial" w:hAnsi="Arial" w:cs="Arial"/>
      <w:b/>
      <w:color w:val="6DABD9"/>
      <w:szCs w:val="18"/>
    </w:rPr>
  </w:style>
  <w:style w:type="character" w:customStyle="1" w:styleId="BoxTitleChar">
    <w:name w:val="BoxTitle Char"/>
    <w:basedOn w:val="DefaultParagraphFont"/>
    <w:link w:val="BoxTitle"/>
    <w:rsid w:val="00CE6F4E"/>
    <w:rPr>
      <w:rFonts w:ascii="Arial" w:hAnsi="Arial" w:cs="Arial"/>
      <w:b/>
      <w:color w:val="6DABD9"/>
      <w:sz w:val="18"/>
      <w:szCs w:val="18"/>
      <w:lang w:val="en-GB" w:eastAsia="en-US" w:bidi="ar-SA"/>
    </w:rPr>
  </w:style>
  <w:style w:type="paragraph" w:customStyle="1" w:styleId="Response">
    <w:name w:val="Response"/>
    <w:basedOn w:val="Normal"/>
    <w:rsid w:val="00CE6F4E"/>
    <w:rPr>
      <w:rFonts w:ascii="Arial" w:hAnsi="Arial"/>
      <w:b/>
      <w:sz w:val="22"/>
      <w:szCs w:val="22"/>
    </w:rPr>
  </w:style>
  <w:style w:type="paragraph" w:customStyle="1" w:styleId="SectionHead">
    <w:name w:val="SectionHead"/>
    <w:basedOn w:val="BoxTitle"/>
    <w:rsid w:val="00D95EE7"/>
    <w:pPr>
      <w:keepNext/>
      <w:keepLines/>
      <w:tabs>
        <w:tab w:val="clear" w:pos="10132"/>
        <w:tab w:val="right" w:pos="10348"/>
      </w:tabs>
      <w:jc w:val="both"/>
    </w:pPr>
    <w:rPr>
      <w:bCs/>
      <w:color w:val="00408B"/>
      <w:sz w:val="22"/>
      <w:szCs w:val="22"/>
    </w:rPr>
  </w:style>
  <w:style w:type="paragraph" w:customStyle="1" w:styleId="TableHead">
    <w:name w:val="TableHead"/>
    <w:basedOn w:val="BoxTitle"/>
    <w:link w:val="TableHeadChar"/>
    <w:rsid w:val="007E4B8F"/>
    <w:rPr>
      <w:color w:val="00408B"/>
    </w:rPr>
  </w:style>
  <w:style w:type="character" w:styleId="PlaceholderText">
    <w:name w:val="Placeholder Text"/>
    <w:basedOn w:val="DefaultParagraphFont"/>
    <w:uiPriority w:val="99"/>
    <w:semiHidden/>
    <w:rsid w:val="000A15BE"/>
    <w:rPr>
      <w:color w:val="808080"/>
    </w:rPr>
  </w:style>
  <w:style w:type="paragraph" w:customStyle="1" w:styleId="Spacer">
    <w:name w:val="Spacer"/>
    <w:basedOn w:val="Normal"/>
    <w:rsid w:val="002635D6"/>
    <w:rPr>
      <w:sz w:val="6"/>
    </w:rPr>
  </w:style>
  <w:style w:type="paragraph" w:customStyle="1" w:styleId="Responsebudget">
    <w:name w:val="Response budget"/>
    <w:basedOn w:val="Response"/>
    <w:rsid w:val="007D4D00"/>
    <w:pPr>
      <w:jc w:val="right"/>
    </w:pPr>
    <w:rPr>
      <w:rFonts w:cs="Arial"/>
      <w:sz w:val="18"/>
      <w:szCs w:val="18"/>
    </w:rPr>
  </w:style>
  <w:style w:type="paragraph" w:customStyle="1" w:styleId="Responsebudgetitem">
    <w:name w:val="Response budget item"/>
    <w:basedOn w:val="Responsebudget"/>
    <w:rsid w:val="005A3620"/>
    <w:pPr>
      <w:ind w:left="267"/>
      <w:jc w:val="left"/>
    </w:pPr>
  </w:style>
  <w:style w:type="character" w:customStyle="1" w:styleId="TableHeadChar">
    <w:name w:val="TableHead Char"/>
    <w:basedOn w:val="BoxTitleChar"/>
    <w:link w:val="TableHead"/>
    <w:rsid w:val="009543F7"/>
    <w:rPr>
      <w:color w:val="00408B"/>
    </w:rPr>
  </w:style>
  <w:style w:type="paragraph" w:customStyle="1" w:styleId="Responsefree">
    <w:name w:val="Response free"/>
    <w:basedOn w:val="Response"/>
    <w:rsid w:val="00490E0F"/>
    <w:pPr>
      <w:spacing w:before="120" w:after="120"/>
    </w:pPr>
    <w:rPr>
      <w:rFonts w:ascii="Times New Roman" w:hAnsi="Times New Roman"/>
      <w:b w:val="0"/>
    </w:rPr>
  </w:style>
  <w:style w:type="paragraph" w:customStyle="1" w:styleId="Body">
    <w:name w:val="Body"/>
    <w:basedOn w:val="Normal"/>
    <w:rsid w:val="0058543C"/>
    <w:pPr>
      <w:spacing w:after="120"/>
      <w:jc w:val="both"/>
    </w:pPr>
    <w:rPr>
      <w:rFonts w:ascii="Arial" w:hAnsi="Arial" w:cs="Arial"/>
      <w:sz w:val="20"/>
    </w:rPr>
  </w:style>
  <w:style w:type="paragraph" w:styleId="FootnoteText">
    <w:name w:val="footnote text"/>
    <w:basedOn w:val="Normal"/>
    <w:semiHidden/>
    <w:rsid w:val="009543F7"/>
    <w:rPr>
      <w:rFonts w:cs="Arial"/>
      <w:sz w:val="20"/>
      <w:lang w:val="en-US"/>
    </w:rPr>
  </w:style>
  <w:style w:type="character" w:styleId="FootnoteReference">
    <w:name w:val="footnote reference"/>
    <w:basedOn w:val="DefaultParagraphFont"/>
    <w:semiHidden/>
    <w:rsid w:val="009543F7"/>
    <w:rPr>
      <w:vertAlign w:val="superscript"/>
    </w:rPr>
  </w:style>
  <w:style w:type="paragraph" w:customStyle="1" w:styleId="BulletList">
    <w:name w:val="BulletList"/>
    <w:basedOn w:val="Body"/>
    <w:rsid w:val="009543F7"/>
    <w:pPr>
      <w:numPr>
        <w:numId w:val="2"/>
      </w:numPr>
    </w:pPr>
  </w:style>
  <w:style w:type="character" w:styleId="CommentReference">
    <w:name w:val="annotation reference"/>
    <w:basedOn w:val="DefaultParagraphFont"/>
    <w:uiPriority w:val="99"/>
    <w:semiHidden/>
    <w:unhideWhenUsed/>
    <w:rsid w:val="002A2F42"/>
    <w:rPr>
      <w:sz w:val="16"/>
      <w:szCs w:val="16"/>
    </w:rPr>
  </w:style>
  <w:style w:type="paragraph" w:styleId="CommentText">
    <w:name w:val="annotation text"/>
    <w:basedOn w:val="Normal"/>
    <w:link w:val="CommentTextChar"/>
    <w:uiPriority w:val="99"/>
    <w:semiHidden/>
    <w:unhideWhenUsed/>
    <w:rsid w:val="002A2F42"/>
    <w:rPr>
      <w:sz w:val="20"/>
    </w:rPr>
  </w:style>
  <w:style w:type="character" w:customStyle="1" w:styleId="CommentTextChar">
    <w:name w:val="Comment Text Char"/>
    <w:basedOn w:val="DefaultParagraphFont"/>
    <w:link w:val="CommentText"/>
    <w:uiPriority w:val="99"/>
    <w:semiHidden/>
    <w:rsid w:val="002A2F42"/>
    <w:rPr>
      <w:lang w:val="en-GB"/>
    </w:rPr>
  </w:style>
  <w:style w:type="paragraph" w:styleId="CommentSubject">
    <w:name w:val="annotation subject"/>
    <w:basedOn w:val="CommentText"/>
    <w:next w:val="CommentText"/>
    <w:link w:val="CommentSubjectChar"/>
    <w:uiPriority w:val="99"/>
    <w:semiHidden/>
    <w:unhideWhenUsed/>
    <w:rsid w:val="002A2F42"/>
    <w:rPr>
      <w:b/>
      <w:bCs/>
    </w:rPr>
  </w:style>
  <w:style w:type="character" w:customStyle="1" w:styleId="CommentSubjectChar">
    <w:name w:val="Comment Subject Char"/>
    <w:basedOn w:val="CommentTextChar"/>
    <w:link w:val="CommentSubject"/>
    <w:uiPriority w:val="99"/>
    <w:semiHidden/>
    <w:rsid w:val="002A2F42"/>
    <w:rPr>
      <w:b/>
      <w:bCs/>
    </w:rPr>
  </w:style>
</w:styles>
</file>

<file path=word/webSettings.xml><?xml version="1.0" encoding="utf-8"?>
<w:webSettings xmlns:r="http://schemas.openxmlformats.org/officeDocument/2006/relationships" xmlns:w="http://schemas.openxmlformats.org/wordprocessingml/2006/main">
  <w:divs>
    <w:div w:id="30343298">
      <w:bodyDiv w:val="1"/>
      <w:marLeft w:val="0"/>
      <w:marRight w:val="0"/>
      <w:marTop w:val="0"/>
      <w:marBottom w:val="0"/>
      <w:divBdr>
        <w:top w:val="none" w:sz="0" w:space="0" w:color="auto"/>
        <w:left w:val="none" w:sz="0" w:space="0" w:color="auto"/>
        <w:bottom w:val="none" w:sz="0" w:space="0" w:color="auto"/>
        <w:right w:val="none" w:sz="0" w:space="0" w:color="auto"/>
      </w:divBdr>
    </w:div>
    <w:div w:id="1522278212">
      <w:bodyDiv w:val="1"/>
      <w:marLeft w:val="0"/>
      <w:marRight w:val="0"/>
      <w:marTop w:val="0"/>
      <w:marBottom w:val="0"/>
      <w:divBdr>
        <w:top w:val="none" w:sz="0" w:space="0" w:color="auto"/>
        <w:left w:val="none" w:sz="0" w:space="0" w:color="auto"/>
        <w:bottom w:val="none" w:sz="0" w:space="0" w:color="auto"/>
        <w:right w:val="none" w:sz="0" w:space="0" w:color="auto"/>
      </w:divBdr>
      <w:divsChild>
        <w:div w:id="877353038">
          <w:marLeft w:val="0"/>
          <w:marRight w:val="0"/>
          <w:marTop w:val="86"/>
          <w:marBottom w:val="0"/>
          <w:divBdr>
            <w:top w:val="single" w:sz="6" w:space="4" w:color="666666"/>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o.int/scien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nato.int/cps/en/natolive/87998.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applications@hq.nato.int?subject=ARW%20application"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nato.int/scie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to.int/science"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885-AE12-40AC-8B5E-A4247A98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2443</Words>
  <Characters>14562</Characters>
  <Application>Microsoft Office Word</Application>
  <DocSecurity>4</DocSecurity>
  <Lines>121</Lines>
  <Paragraphs>33</Paragraphs>
  <ScaleCrop>false</ScaleCrop>
  <Company/>
  <LinksUpToDate>false</LinksUpToDate>
  <CharactersWithSpaces>16972</CharactersWithSpaces>
  <SharedDoc>false</SharedDoc>
  <HLinks>
    <vt:vector size="72" baseType="variant">
      <vt:variant>
        <vt:i4>2424952</vt:i4>
      </vt:variant>
      <vt:variant>
        <vt:i4>33</vt:i4>
      </vt:variant>
      <vt:variant>
        <vt:i4>0</vt:i4>
      </vt:variant>
      <vt:variant>
        <vt:i4>5</vt:i4>
      </vt:variant>
      <vt:variant>
        <vt:lpwstr/>
      </vt:variant>
      <vt:variant>
        <vt:lpwstr>Annex1KeyPriorities</vt:lpwstr>
      </vt:variant>
      <vt:variant>
        <vt:i4>2424952</vt:i4>
      </vt:variant>
      <vt:variant>
        <vt:i4>30</vt:i4>
      </vt:variant>
      <vt:variant>
        <vt:i4>0</vt:i4>
      </vt:variant>
      <vt:variant>
        <vt:i4>5</vt:i4>
      </vt:variant>
      <vt:variant>
        <vt:lpwstr/>
      </vt:variant>
      <vt:variant>
        <vt:lpwstr>Annex1KeyPriorities</vt:lpwstr>
      </vt:variant>
      <vt:variant>
        <vt:i4>1507362</vt:i4>
      </vt:variant>
      <vt:variant>
        <vt:i4>27</vt:i4>
      </vt:variant>
      <vt:variant>
        <vt:i4>0</vt:i4>
      </vt:variant>
      <vt:variant>
        <vt:i4>5</vt:i4>
      </vt:variant>
      <vt:variant>
        <vt:lpwstr>mailto:sps.applications@hq.nato.int</vt:lpwstr>
      </vt:variant>
      <vt:variant>
        <vt:lpwstr/>
      </vt:variant>
      <vt:variant>
        <vt:i4>2228341</vt:i4>
      </vt:variant>
      <vt:variant>
        <vt:i4>24</vt:i4>
      </vt:variant>
      <vt:variant>
        <vt:i4>0</vt:i4>
      </vt:variant>
      <vt:variant>
        <vt:i4>5</vt:i4>
      </vt:variant>
      <vt:variant>
        <vt:lpwstr/>
      </vt:variant>
      <vt:variant>
        <vt:lpwstr>Annex3EligibleCountries</vt:lpwstr>
      </vt:variant>
      <vt:variant>
        <vt:i4>3866679</vt:i4>
      </vt:variant>
      <vt:variant>
        <vt:i4>21</vt:i4>
      </vt:variant>
      <vt:variant>
        <vt:i4>0</vt:i4>
      </vt:variant>
      <vt:variant>
        <vt:i4>5</vt:i4>
      </vt:variant>
      <vt:variant>
        <vt:lpwstr>http://www.nato.int/science</vt:lpwstr>
      </vt:variant>
      <vt:variant>
        <vt:lpwstr/>
      </vt:variant>
      <vt:variant>
        <vt:i4>5570568</vt:i4>
      </vt:variant>
      <vt:variant>
        <vt:i4>18</vt:i4>
      </vt:variant>
      <vt:variant>
        <vt:i4>0</vt:i4>
      </vt:variant>
      <vt:variant>
        <vt:i4>5</vt:i4>
      </vt:variant>
      <vt:variant>
        <vt:lpwstr/>
      </vt:variant>
      <vt:variant>
        <vt:lpwstr>Annex4ProjectProposal</vt:lpwstr>
      </vt:variant>
      <vt:variant>
        <vt:i4>5570568</vt:i4>
      </vt:variant>
      <vt:variant>
        <vt:i4>15</vt:i4>
      </vt:variant>
      <vt:variant>
        <vt:i4>0</vt:i4>
      </vt:variant>
      <vt:variant>
        <vt:i4>5</vt:i4>
      </vt:variant>
      <vt:variant>
        <vt:lpwstr/>
      </vt:variant>
      <vt:variant>
        <vt:lpwstr>Annex4ProjectProposal</vt:lpwstr>
      </vt:variant>
      <vt:variant>
        <vt:i4>2228341</vt:i4>
      </vt:variant>
      <vt:variant>
        <vt:i4>12</vt:i4>
      </vt:variant>
      <vt:variant>
        <vt:i4>0</vt:i4>
      </vt:variant>
      <vt:variant>
        <vt:i4>5</vt:i4>
      </vt:variant>
      <vt:variant>
        <vt:lpwstr/>
      </vt:variant>
      <vt:variant>
        <vt:lpwstr>Annex3EligibleCountries</vt:lpwstr>
      </vt:variant>
      <vt:variant>
        <vt:i4>4587542</vt:i4>
      </vt:variant>
      <vt:variant>
        <vt:i4>9</vt:i4>
      </vt:variant>
      <vt:variant>
        <vt:i4>0</vt:i4>
      </vt:variant>
      <vt:variant>
        <vt:i4>5</vt:i4>
      </vt:variant>
      <vt:variant>
        <vt:lpwstr/>
      </vt:variant>
      <vt:variant>
        <vt:lpwstr>Annex2Funding</vt:lpwstr>
      </vt:variant>
      <vt:variant>
        <vt:i4>2424952</vt:i4>
      </vt:variant>
      <vt:variant>
        <vt:i4>6</vt:i4>
      </vt:variant>
      <vt:variant>
        <vt:i4>0</vt:i4>
      </vt:variant>
      <vt:variant>
        <vt:i4>5</vt:i4>
      </vt:variant>
      <vt:variant>
        <vt:lpwstr/>
      </vt:variant>
      <vt:variant>
        <vt:lpwstr>Annex1KeyPriorities</vt:lpwstr>
      </vt:variant>
      <vt:variant>
        <vt:i4>3866679</vt:i4>
      </vt:variant>
      <vt:variant>
        <vt:i4>3</vt:i4>
      </vt:variant>
      <vt:variant>
        <vt:i4>0</vt:i4>
      </vt:variant>
      <vt:variant>
        <vt:i4>5</vt:i4>
      </vt:variant>
      <vt:variant>
        <vt:lpwstr>http://www.nato.int/science</vt:lpwstr>
      </vt:variant>
      <vt:variant>
        <vt:lpwstr/>
      </vt:variant>
      <vt:variant>
        <vt:i4>2424952</vt:i4>
      </vt:variant>
      <vt:variant>
        <vt:i4>0</vt:i4>
      </vt:variant>
      <vt:variant>
        <vt:i4>0</vt:i4>
      </vt:variant>
      <vt:variant>
        <vt:i4>5</vt:i4>
      </vt:variant>
      <vt:variant>
        <vt:lpwstr/>
      </vt:variant>
      <vt:variant>
        <vt:lpwstr>Annex1KeyPriorities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2013-06-14T09:06:00Z</dcterms:created>
  <dcterms:modified xsi:type="dcterms:W3CDTF">2013-06-14T09:06:00Z</dcterms:modified>
</cp:coreProperties>
</file>