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bottom w:val="single" w:sz="4" w:space="0" w:color="auto"/>
        </w:tblBorders>
        <w:tblLayout w:type="fixed"/>
        <w:tblCellMar>
          <w:bottom w:w="142" w:type="dxa"/>
        </w:tblCellMar>
        <w:tblLook w:val="0000"/>
      </w:tblPr>
      <w:tblGrid>
        <w:gridCol w:w="993"/>
        <w:gridCol w:w="9355"/>
      </w:tblGrid>
      <w:tr w:rsidR="009D25EC" w:rsidRPr="00ED3C77">
        <w:trPr>
          <w:trHeight w:val="1881"/>
        </w:trPr>
        <w:tc>
          <w:tcPr>
            <w:tcW w:w="993" w:type="dxa"/>
            <w:vAlign w:val="center"/>
          </w:tcPr>
          <w:p w:rsidR="009D25EC" w:rsidRPr="00ED3C77" w:rsidRDefault="000A15BE" w:rsidP="00E33755">
            <w:pPr>
              <w:jc w:val="center"/>
              <w:rPr>
                <w:b/>
                <w:bCs/>
              </w:rPr>
            </w:pPr>
            <w:bookmarkStart w:id="0" w:name="_Toc326767645"/>
            <w:bookmarkStart w:id="1" w:name="_Toc326767647"/>
            <w:r>
              <w:rPr>
                <w:b/>
                <w:bCs/>
                <w:noProof/>
                <w:lang w:val="en-US"/>
              </w:rPr>
              <w:drawing>
                <wp:inline distT="0" distB="0" distL="0" distR="0">
                  <wp:extent cx="581025" cy="11620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1025" cy="1162050"/>
                          </a:xfrm>
                          <a:prstGeom prst="rect">
                            <a:avLst/>
                          </a:prstGeom>
                          <a:noFill/>
                          <a:ln w="9525">
                            <a:noFill/>
                            <a:miter lim="800000"/>
                            <a:headEnd/>
                            <a:tailEnd/>
                          </a:ln>
                        </pic:spPr>
                      </pic:pic>
                    </a:graphicData>
                  </a:graphic>
                </wp:inline>
              </w:drawing>
            </w:r>
          </w:p>
        </w:tc>
        <w:tc>
          <w:tcPr>
            <w:tcW w:w="9355" w:type="dxa"/>
            <w:vAlign w:val="center"/>
          </w:tcPr>
          <w:p w:rsidR="009D25EC" w:rsidRPr="00ED3C77" w:rsidRDefault="009D25EC" w:rsidP="009D25EC">
            <w:pPr>
              <w:spacing w:after="120"/>
              <w:jc w:val="center"/>
              <w:rPr>
                <w:b/>
                <w:bCs/>
                <w:color w:val="3487C8"/>
                <w:sz w:val="22"/>
                <w:szCs w:val="22"/>
              </w:rPr>
            </w:pPr>
            <w:r w:rsidRPr="00ED3C77">
              <w:rPr>
                <w:b/>
                <w:bCs/>
                <w:color w:val="3487C8"/>
                <w:sz w:val="22"/>
                <w:szCs w:val="22"/>
              </w:rPr>
              <w:t>Emerging Security Challenges Division</w:t>
            </w:r>
          </w:p>
          <w:p w:rsidR="009D25EC" w:rsidRPr="00ED3C77" w:rsidRDefault="009D25EC" w:rsidP="009D25EC">
            <w:pPr>
              <w:spacing w:after="200"/>
              <w:jc w:val="center"/>
              <w:rPr>
                <w:b/>
                <w:bCs/>
                <w:color w:val="3487C8"/>
                <w:sz w:val="28"/>
                <w:szCs w:val="28"/>
              </w:rPr>
            </w:pPr>
            <w:r w:rsidRPr="00ED3C77">
              <w:rPr>
                <w:b/>
                <w:bCs/>
                <w:color w:val="3487C8"/>
                <w:sz w:val="28"/>
                <w:szCs w:val="28"/>
              </w:rPr>
              <w:t>Science for Peace and Security Programme</w:t>
            </w:r>
          </w:p>
          <w:p w:rsidR="009D25EC" w:rsidRPr="00F07247" w:rsidRDefault="00904BB2" w:rsidP="009D25EC">
            <w:pPr>
              <w:spacing w:after="200"/>
              <w:jc w:val="center"/>
              <w:rPr>
                <w:rFonts w:ascii="Arial" w:hAnsi="Arial" w:cs="Arial"/>
                <w:b/>
                <w:bCs/>
                <w:color w:val="00408B"/>
                <w:sz w:val="32"/>
                <w:szCs w:val="32"/>
              </w:rPr>
            </w:pPr>
            <w:r w:rsidRPr="00DC4E6D">
              <w:rPr>
                <w:rFonts w:ascii="Arial" w:hAnsi="Arial" w:cs="Arial"/>
                <w:b/>
                <w:bCs/>
                <w:color w:val="00408B"/>
                <w:sz w:val="32"/>
                <w:szCs w:val="32"/>
              </w:rPr>
              <w:t xml:space="preserve">Guidelines for Applicants: </w:t>
            </w:r>
            <w:r>
              <w:rPr>
                <w:rFonts w:ascii="Arial" w:hAnsi="Arial" w:cs="Arial"/>
                <w:b/>
                <w:bCs/>
                <w:color w:val="00408B"/>
                <w:sz w:val="32"/>
                <w:szCs w:val="32"/>
              </w:rPr>
              <w:t>SPS Project</w:t>
            </w:r>
            <w:r w:rsidR="00B508CD">
              <w:rPr>
                <w:rFonts w:ascii="Arial" w:hAnsi="Arial" w:cs="Arial"/>
                <w:b/>
                <w:bCs/>
                <w:color w:val="00408B"/>
                <w:sz w:val="32"/>
                <w:szCs w:val="32"/>
              </w:rPr>
              <w:t xml:space="preserve"> Plan</w:t>
            </w:r>
          </w:p>
          <w:p w:rsidR="009D25EC" w:rsidRPr="00ED3C77" w:rsidRDefault="009D25EC" w:rsidP="009D25EC">
            <w:pPr>
              <w:jc w:val="center"/>
              <w:rPr>
                <w:b/>
                <w:bCs/>
              </w:rPr>
            </w:pPr>
            <w:r w:rsidRPr="00ED3C77">
              <w:rPr>
                <w:szCs w:val="18"/>
              </w:rPr>
              <w:t xml:space="preserve">NATO Emerging Security Challenges Division, SPS Programme, Bd. Léopold </w:t>
            </w:r>
            <w:smartTag w:uri="urn:schemas-microsoft-com:office:smarttags" w:element="stockticker">
              <w:r w:rsidRPr="00ED3C77">
                <w:rPr>
                  <w:szCs w:val="18"/>
                </w:rPr>
                <w:t>III</w:t>
              </w:r>
            </w:smartTag>
            <w:r w:rsidRPr="00ED3C77">
              <w:rPr>
                <w:szCs w:val="18"/>
              </w:rPr>
              <w:t xml:space="preserve">, </w:t>
            </w:r>
            <w:r w:rsidRPr="00ED3C77" w:rsidDel="00C17795">
              <w:rPr>
                <w:szCs w:val="18"/>
              </w:rPr>
              <w:t>B-</w:t>
            </w:r>
            <w:r w:rsidRPr="00ED3C77">
              <w:rPr>
                <w:szCs w:val="18"/>
              </w:rPr>
              <w:t>1110 Brussels, Belgium</w:t>
            </w:r>
          </w:p>
        </w:tc>
      </w:tr>
    </w:tbl>
    <w:p w:rsidR="00CA1D44" w:rsidRDefault="00CA1D44" w:rsidP="00CA1D44">
      <w:pPr>
        <w:pStyle w:val="Heading1"/>
        <w:rPr>
          <w:sz w:val="20"/>
        </w:rPr>
      </w:pPr>
      <w:bookmarkStart w:id="2" w:name="_Toc341274779"/>
      <w:r>
        <w:t>Purpose and Scope of these Guidelines</w:t>
      </w:r>
      <w:bookmarkEnd w:id="2"/>
    </w:p>
    <w:p w:rsidR="00CA1D44" w:rsidRDefault="00CA1D44" w:rsidP="000F7FBA">
      <w:pPr>
        <w:pStyle w:val="Body"/>
      </w:pPr>
      <w:r>
        <w:t xml:space="preserve">The purpose of this publication is to provide specific guidelines for the preparation of Project Plans for </w:t>
      </w:r>
      <w:r w:rsidR="000F7FBA">
        <w:t>applicants who have been invited to submit them based on their initial Application.</w:t>
      </w:r>
      <w:r>
        <w:t xml:space="preserve"> These Project Plans will form the basis for </w:t>
      </w:r>
      <w:r w:rsidR="000F7FBA">
        <w:t xml:space="preserve">further </w:t>
      </w:r>
      <w:r>
        <w:t>review of projects and</w:t>
      </w:r>
      <w:r w:rsidR="000F7FBA">
        <w:t xml:space="preserve">, if approved, their </w:t>
      </w:r>
      <w:r>
        <w:t>implementation.</w:t>
      </w:r>
    </w:p>
    <w:p w:rsidR="00CA1D44" w:rsidRDefault="00CA1D44" w:rsidP="00CA1D44">
      <w:pPr>
        <w:pStyle w:val="Body"/>
      </w:pPr>
      <w:r>
        <w:t xml:space="preserve">Also included in this publication are some procedures that will govern the subsequent implementation of approved Projects. A more detailed </w:t>
      </w:r>
      <w:r w:rsidRPr="00A4009A">
        <w:rPr>
          <w:i/>
        </w:rPr>
        <w:t>Science for Peace Project Management Handbook</w:t>
      </w:r>
      <w:r>
        <w:t xml:space="preserve"> is available to the Project Co-Directors of approved projects.</w:t>
      </w:r>
    </w:p>
    <w:p w:rsidR="00CA1D44" w:rsidRDefault="00CA1D44" w:rsidP="00CA1D44">
      <w:pPr>
        <w:pStyle w:val="Body"/>
      </w:pPr>
      <w:r>
        <w:t xml:space="preserve">These Guidelines and the Management Handbook are also available on our web site: </w:t>
      </w:r>
      <w:hyperlink r:id="rId9" w:history="1">
        <w:r>
          <w:rPr>
            <w:rStyle w:val="Hyperlink"/>
          </w:rPr>
          <w:t>http://www.nato.int/science</w:t>
        </w:r>
      </w:hyperlink>
      <w:r w:rsidR="000F7FBA">
        <w:t>.</w:t>
      </w:r>
      <w:r>
        <w:t>.</w:t>
      </w:r>
    </w:p>
    <w:p w:rsidR="00262B0F" w:rsidRPr="00ED3C77" w:rsidRDefault="00262B0F" w:rsidP="00262B0F">
      <w:pPr>
        <w:pStyle w:val="Heading1"/>
        <w:jc w:val="both"/>
      </w:pPr>
      <w:bookmarkStart w:id="3" w:name="_Toc341274780"/>
      <w:r w:rsidRPr="00ED3C77">
        <w:t xml:space="preserve">Application </w:t>
      </w:r>
      <w:r>
        <w:t xml:space="preserve">and Review </w:t>
      </w:r>
      <w:r w:rsidRPr="00ED3C77">
        <w:t>Process</w:t>
      </w:r>
      <w:bookmarkEnd w:id="3"/>
    </w:p>
    <w:p w:rsidR="00262B0F" w:rsidRPr="00ED3C77" w:rsidRDefault="00262B0F" w:rsidP="00262B0F">
      <w:pPr>
        <w:pStyle w:val="Heading2"/>
      </w:pPr>
      <w:bookmarkStart w:id="4" w:name="_Toc341274781"/>
      <w:r w:rsidRPr="007802D0">
        <w:t>The Project Application</w:t>
      </w:r>
      <w:bookmarkEnd w:id="4"/>
    </w:p>
    <w:p w:rsidR="00262B0F" w:rsidRPr="00ED3C77" w:rsidRDefault="00262B0F" w:rsidP="00262B0F">
      <w:pPr>
        <w:pStyle w:val="Body"/>
      </w:pPr>
      <w:r w:rsidRPr="00ED3C77">
        <w:t xml:space="preserve">The </w:t>
      </w:r>
      <w:r>
        <w:t>first step in the</w:t>
      </w:r>
      <w:r w:rsidRPr="00ED3C77">
        <w:t xml:space="preserve"> app</w:t>
      </w:r>
      <w:r>
        <w:t xml:space="preserve">lication process is the Project Application which is the subject of its own set of guidelines which can be found on the </w:t>
      </w:r>
      <w:hyperlink r:id="rId10" w:history="1">
        <w:r w:rsidRPr="00257746">
          <w:rPr>
            <w:rStyle w:val="Hyperlink"/>
          </w:rPr>
          <w:t>SPS website</w:t>
        </w:r>
      </w:hyperlink>
      <w:r>
        <w:t xml:space="preserve"> in the same location as these guidelines</w:t>
      </w:r>
      <w:r w:rsidRPr="00ED3C77">
        <w:t xml:space="preserve">. </w:t>
      </w:r>
      <w:r>
        <w:t xml:space="preserve">Project Applications are reviewed </w:t>
      </w:r>
      <w:r w:rsidR="000F7FBA">
        <w:t>as they are received</w:t>
      </w:r>
      <w:r>
        <w:t>.</w:t>
      </w:r>
      <w:r w:rsidR="000F7FBA" w:rsidRPr="000F7FBA">
        <w:t xml:space="preserve"> </w:t>
      </w:r>
      <w:r w:rsidR="000F7FBA">
        <w:t xml:space="preserve">Applicants whose initial application is favourably reviewed will be invited to submit a </w:t>
      </w:r>
      <w:r w:rsidR="000F7FBA" w:rsidRPr="00147FCE">
        <w:rPr>
          <w:i/>
        </w:rPr>
        <w:t>Project Plan</w:t>
      </w:r>
      <w:r w:rsidR="000F7FBA">
        <w:rPr>
          <w:i/>
        </w:rPr>
        <w:t xml:space="preserve">, </w:t>
      </w:r>
      <w:r w:rsidR="000F7FBA">
        <w:t>which is the subject of these guidelines.</w:t>
      </w:r>
    </w:p>
    <w:p w:rsidR="00262B0F" w:rsidRPr="003752DD" w:rsidRDefault="00262B0F" w:rsidP="00262B0F">
      <w:pPr>
        <w:pStyle w:val="Heading2"/>
      </w:pPr>
      <w:bookmarkStart w:id="5" w:name="_Toc341274783"/>
      <w:r w:rsidRPr="00A47A11">
        <w:t>The Project Plan</w:t>
      </w:r>
      <w:bookmarkEnd w:id="5"/>
    </w:p>
    <w:p w:rsidR="000D76C8" w:rsidRDefault="00262B0F" w:rsidP="000D76C8">
      <w:pPr>
        <w:pStyle w:val="Body"/>
      </w:pPr>
      <w:r w:rsidRPr="00ED3C77">
        <w:t>The project plan describes the purpose and objectives of the project in detail. It details the management and organization</w:t>
      </w:r>
      <w:r>
        <w:t xml:space="preserve"> of the project</w:t>
      </w:r>
      <w:r w:rsidRPr="00ED3C77">
        <w:t xml:space="preserve"> and the responsibilities of key personnel</w:t>
      </w:r>
      <w:r>
        <w:t>,</w:t>
      </w:r>
      <w:r w:rsidRPr="00ED3C77">
        <w:t xml:space="preserve"> </w:t>
      </w:r>
      <w:r>
        <w:t>includes a detailed work plan and</w:t>
      </w:r>
      <w:r w:rsidRPr="00ED3C77">
        <w:t xml:space="preserve"> budget, and</w:t>
      </w:r>
      <w:r>
        <w:t>, if necessary, an</w:t>
      </w:r>
      <w:r w:rsidRPr="00ED3C77">
        <w:t xml:space="preserve"> intellectual property rights (</w:t>
      </w:r>
      <w:smartTag w:uri="urn:schemas-microsoft-com:office:smarttags" w:element="stockticker">
        <w:r w:rsidRPr="00ED3C77">
          <w:t>IPR</w:t>
        </w:r>
      </w:smartTag>
      <w:r w:rsidRPr="00ED3C77">
        <w:t>)</w:t>
      </w:r>
      <w:r>
        <w:t xml:space="preserve"> agreement</w:t>
      </w:r>
      <w:r w:rsidRPr="00ED3C77">
        <w:t>.</w:t>
      </w:r>
      <w:r w:rsidR="000D76C8">
        <w:t xml:space="preserve"> A template can be found on the </w:t>
      </w:r>
      <w:hyperlink r:id="rId11" w:history="1">
        <w:r w:rsidR="000D76C8" w:rsidRPr="00257746">
          <w:rPr>
            <w:rStyle w:val="Hyperlink"/>
          </w:rPr>
          <w:t>SPS website</w:t>
        </w:r>
      </w:hyperlink>
      <w:r w:rsidR="000D76C8">
        <w:t xml:space="preserve"> in the same location as these guidelines. As described in the template, the Project Plan should be submitted electronically to </w:t>
      </w:r>
      <w:hyperlink r:id="rId12" w:history="1">
        <w:r w:rsidR="008B747F" w:rsidRPr="008B747F">
          <w:rPr>
            <w:rStyle w:val="Hyperlink"/>
          </w:rPr>
          <w:t>sps.applications@hq.nato.int</w:t>
        </w:r>
      </w:hyperlink>
      <w:r w:rsidR="008B747F" w:rsidRPr="008B747F">
        <w:t>, in Microsoft</w:t>
      </w:r>
      <w:r w:rsidR="008B747F">
        <w:t xml:space="preserve"> Word format if at all possible. F</w:t>
      </w:r>
      <w:r w:rsidR="000D76C8">
        <w:t xml:space="preserve">ive paper copies (recto-verso, please) must be received by the SPS office at least one month before the ISEG meeting at which it will be </w:t>
      </w:r>
      <w:r w:rsidR="000F7FBA">
        <w:t>reviewed</w:t>
      </w:r>
      <w:r w:rsidR="000D76C8">
        <w:t>.</w:t>
      </w:r>
    </w:p>
    <w:p w:rsidR="000D76C8" w:rsidRPr="00E141E4" w:rsidRDefault="000D76C8" w:rsidP="000D76C8">
      <w:pPr>
        <w:pStyle w:val="Body"/>
      </w:pPr>
      <w:r>
        <w:t>On a case by case basis, an external expert may be appointed by NATO to assist in the preparation and evaluation of the Project Plan and/or, if approved, in the follow-up of the Project. Such an expert would work for NATO under a NATO Consultant contract.</w:t>
      </w:r>
      <w:r w:rsidR="00F51C80">
        <w:t xml:space="preserve"> </w:t>
      </w:r>
      <w:r>
        <w:t xml:space="preserve">Practical arrangements for assistance and travel of the Consultant would be co-ordinated and agreed by the Consultant and the Project Co-Directors in consultation with the </w:t>
      </w:r>
      <w:r w:rsidRPr="00197530">
        <w:t>SPS Projects</w:t>
      </w:r>
      <w:r>
        <w:t xml:space="preserve"> Office. For Terms of Reference of the NATO Consultant see</w:t>
      </w:r>
      <w:r w:rsidRPr="00197530">
        <w:t xml:space="preserve"> </w:t>
      </w:r>
      <w:hyperlink w:anchor="Annex5Consultants" w:history="1">
        <w:r w:rsidR="004D7616" w:rsidRPr="00CA1D44">
          <w:rPr>
            <w:rStyle w:val="Hyperlink"/>
          </w:rPr>
          <w:t xml:space="preserve">Annex </w:t>
        </w:r>
        <w:r w:rsidR="004D7616">
          <w:rPr>
            <w:rStyle w:val="Hyperlink"/>
          </w:rPr>
          <w:t>4</w:t>
        </w:r>
      </w:hyperlink>
      <w:r w:rsidRPr="000C7F4A">
        <w:t>.</w:t>
      </w:r>
    </w:p>
    <w:p w:rsidR="000D76C8" w:rsidRDefault="000D76C8" w:rsidP="000D76C8">
      <w:pPr>
        <w:pStyle w:val="Heading2"/>
      </w:pPr>
      <w:bookmarkStart w:id="6" w:name="_Toc341274784"/>
      <w:r>
        <w:t>ISEG Review</w:t>
      </w:r>
      <w:bookmarkEnd w:id="6"/>
    </w:p>
    <w:p w:rsidR="000D76C8" w:rsidRPr="000D76C8" w:rsidRDefault="000F7FBA" w:rsidP="000D76C8">
      <w:pPr>
        <w:pStyle w:val="Body"/>
      </w:pPr>
      <w:r>
        <w:t>Project Plans are subject to peer-review by NATO’s Independent Scientific Evaluation Group (ISEG) who recommend projects for funding (or not)</w:t>
      </w:r>
      <w:r w:rsidR="00C17001">
        <w:t xml:space="preserve"> to NATO. </w:t>
      </w:r>
    </w:p>
    <w:p w:rsidR="00262B0F" w:rsidRDefault="00262B0F" w:rsidP="00262B0F">
      <w:pPr>
        <w:pStyle w:val="Heading2"/>
      </w:pPr>
      <w:bookmarkStart w:id="7" w:name="_Toc341274785"/>
      <w:r>
        <w:t>Final Approval</w:t>
      </w:r>
      <w:bookmarkEnd w:id="7"/>
    </w:p>
    <w:p w:rsidR="00262B0F" w:rsidRDefault="000F7FBA" w:rsidP="00262B0F">
      <w:pPr>
        <w:pStyle w:val="Body"/>
      </w:pPr>
      <w:r>
        <w:t>Projects</w:t>
      </w:r>
      <w:r w:rsidR="00262B0F">
        <w:t xml:space="preserve"> recommended by the ISEG will be considered by NATO which makes a final decision to fund or reject.</w:t>
      </w:r>
    </w:p>
    <w:p w:rsidR="00262B0F" w:rsidRDefault="00262B0F" w:rsidP="00262B0F">
      <w:pPr>
        <w:pStyle w:val="Heading2"/>
      </w:pPr>
      <w:bookmarkStart w:id="8" w:name="_Toc341274786"/>
      <w:r>
        <w:t>Timing</w:t>
      </w:r>
      <w:bookmarkEnd w:id="8"/>
    </w:p>
    <w:p w:rsidR="00262B0F" w:rsidRDefault="00262B0F" w:rsidP="00262B0F">
      <w:pPr>
        <w:pStyle w:val="Body"/>
      </w:pPr>
      <w:r>
        <w:t xml:space="preserve">The overall process for a successful application, from initial submission deadline through planning grant and project plan to funded project can take </w:t>
      </w:r>
      <w:r w:rsidR="000F7FBA">
        <w:t xml:space="preserve">eight </w:t>
      </w:r>
      <w:r>
        <w:t>or more months. Please plan your research and staffing accordingly.</w:t>
      </w:r>
    </w:p>
    <w:p w:rsidR="00262B0F" w:rsidRPr="00ED3C77" w:rsidRDefault="00262B0F" w:rsidP="00262B0F">
      <w:pPr>
        <w:pStyle w:val="Body"/>
      </w:pPr>
      <w:r w:rsidRPr="00341BD2">
        <w:t xml:space="preserve">Applicants should note that they cannot have </w:t>
      </w:r>
      <w:r>
        <w:t>more than one</w:t>
      </w:r>
      <w:r w:rsidRPr="00341BD2">
        <w:t xml:space="preserve"> SPS </w:t>
      </w:r>
      <w:r>
        <w:t>activity running simultaneously. They</w:t>
      </w:r>
      <w:r w:rsidRPr="00341BD2">
        <w:t xml:space="preserve"> should ensure that </w:t>
      </w:r>
      <w:r>
        <w:t>the</w:t>
      </w:r>
      <w:r w:rsidRPr="00341BD2">
        <w:t xml:space="preserve"> file on any previous SPS activity directed </w:t>
      </w:r>
      <w:r>
        <w:t>by any of them</w:t>
      </w:r>
      <w:r w:rsidRPr="00341BD2">
        <w:t xml:space="preserve"> is closed before applying to direct another.</w:t>
      </w:r>
    </w:p>
    <w:p w:rsidR="007050B8" w:rsidRDefault="007050B8" w:rsidP="007050B8">
      <w:pPr>
        <w:pStyle w:val="Heading1"/>
      </w:pPr>
      <w:bookmarkStart w:id="9" w:name="_Toc341274787"/>
      <w:r>
        <w:t>The Grant Letter and Project Funding</w:t>
      </w:r>
      <w:bookmarkEnd w:id="9"/>
    </w:p>
    <w:p w:rsidR="007050B8" w:rsidRDefault="007050B8" w:rsidP="007050B8">
      <w:pPr>
        <w:pStyle w:val="Body"/>
      </w:pPr>
      <w:r>
        <w:t>When a project is approved, NATO issues a Grant Letter which advises the Co-Directors of the decision and makes an initial award of funds sufficient to carry the Project through the first six to 12 months. The terms of the Grant may further impose specific conditions recommended by the ISEG or by NATO. The Grant Letter and the Project Plan form a contract between NATO and the Co-Directors, and all Co-Directors will sign the Grant Letter.</w:t>
      </w:r>
      <w:r w:rsidR="00F51C80">
        <w:t xml:space="preserve"> </w:t>
      </w:r>
    </w:p>
    <w:p w:rsidR="007050B8" w:rsidRDefault="007050B8" w:rsidP="007050B8">
      <w:pPr>
        <w:pStyle w:val="Body"/>
      </w:pPr>
      <w:r>
        <w:lastRenderedPageBreak/>
        <w:t>It is important to note that, although grants are made jointly to the Project Co-Directors, the NATO country Project Director (NPD) is ultimately responsible for the management of NATO funds.</w:t>
      </w:r>
    </w:p>
    <w:p w:rsidR="007050B8" w:rsidRDefault="007050B8" w:rsidP="007050B8">
      <w:pPr>
        <w:pStyle w:val="Body"/>
      </w:pPr>
      <w:r>
        <w:t>Periodically, NATO makes additional grants to the Project based on progress of the work assessed on the basis of a six-monthly Progress Report.</w:t>
      </w:r>
      <w:r w:rsidR="00F51C80">
        <w:t xml:space="preserve"> </w:t>
      </w:r>
      <w:r>
        <w:t>In addition to the terms and conditions of the initial grant, additional grants are subject to project documentation including progress reporting being in order</w:t>
      </w:r>
      <w:r w:rsidRPr="00D12F02">
        <w:t xml:space="preserve"> </w:t>
      </w:r>
      <w:r>
        <w:t>as well as to the availability of budgetary credits.</w:t>
      </w:r>
    </w:p>
    <w:p w:rsidR="007050B8" w:rsidRDefault="007050B8" w:rsidP="007050B8">
      <w:pPr>
        <w:pStyle w:val="Body"/>
      </w:pPr>
      <w:r>
        <w:t xml:space="preserve">The committed funds will stay in an account at NATO in Brussels. Payments to be made from these funds are requested through the NPD to the </w:t>
      </w:r>
      <w:r w:rsidRPr="003A64FD">
        <w:t>S</w:t>
      </w:r>
      <w:r>
        <w:t xml:space="preserve">PS Projects Office. These and other management aspects are covered in detail in the </w:t>
      </w:r>
      <w:r w:rsidRPr="00197530">
        <w:t>Science for Peace Project Management Handbook</w:t>
      </w:r>
      <w:r>
        <w:t xml:space="preserve"> available on our </w:t>
      </w:r>
      <w:hyperlink r:id="rId13" w:history="1">
        <w:r w:rsidRPr="00DC0371">
          <w:rPr>
            <w:rStyle w:val="Hyperlink"/>
          </w:rPr>
          <w:t>website</w:t>
        </w:r>
      </w:hyperlink>
      <w:r>
        <w:t>.</w:t>
      </w:r>
    </w:p>
    <w:p w:rsidR="007050B8" w:rsidRDefault="007050B8" w:rsidP="007050B8">
      <w:pPr>
        <w:pStyle w:val="Heading1"/>
      </w:pPr>
      <w:bookmarkStart w:id="10" w:name="_Toc341274788"/>
      <w:r>
        <w:t>Content of the Project Plan</w:t>
      </w:r>
      <w:bookmarkEnd w:id="10"/>
    </w:p>
    <w:p w:rsidR="007050B8" w:rsidRDefault="007050B8" w:rsidP="007050B8">
      <w:pPr>
        <w:pStyle w:val="Body"/>
      </w:pPr>
      <w:r>
        <w:t xml:space="preserve">The Project Plan should be prepared according to the template available on our </w:t>
      </w:r>
      <w:hyperlink r:id="rId14" w:history="1">
        <w:r w:rsidRPr="00DC0371">
          <w:rPr>
            <w:rStyle w:val="Hyperlink"/>
          </w:rPr>
          <w:t>website</w:t>
        </w:r>
      </w:hyperlink>
      <w:r>
        <w:t>. Certain items may require additional explanation:</w:t>
      </w:r>
    </w:p>
    <w:p w:rsidR="007050B8" w:rsidRDefault="004F3E7D" w:rsidP="007050B8">
      <w:pPr>
        <w:pStyle w:val="Heading2"/>
      </w:pPr>
      <w:bookmarkStart w:id="11" w:name="_Toc341274789"/>
      <w:r>
        <w:t>Title</w:t>
      </w:r>
      <w:bookmarkEnd w:id="11"/>
    </w:p>
    <w:p w:rsidR="007050B8" w:rsidRDefault="007050B8" w:rsidP="007050B8">
      <w:pPr>
        <w:pStyle w:val="Body"/>
      </w:pPr>
      <w:r w:rsidRPr="004F3E7D">
        <w:t>The title</w:t>
      </w:r>
      <w:r>
        <w:t xml:space="preserve"> should be understandable for non-experts and clearly reflect a link to defence and security and the relevance of the project to NATO.</w:t>
      </w:r>
    </w:p>
    <w:p w:rsidR="004F3E7D" w:rsidRDefault="004F3E7D" w:rsidP="004F3E7D">
      <w:pPr>
        <w:pStyle w:val="Heading2"/>
      </w:pPr>
      <w:bookmarkStart w:id="12" w:name="_Toc341274790"/>
      <w:r>
        <w:t>Key Priorities</w:t>
      </w:r>
      <w:bookmarkEnd w:id="12"/>
    </w:p>
    <w:p w:rsidR="007050B8" w:rsidRDefault="007050B8" w:rsidP="007050B8">
      <w:pPr>
        <w:pStyle w:val="Body"/>
      </w:pPr>
      <w:r>
        <w:t xml:space="preserve">The </w:t>
      </w:r>
      <w:r w:rsidRPr="004F3E7D">
        <w:t>SPS Key Priorities</w:t>
      </w:r>
      <w:r>
        <w:t xml:space="preserve"> addressed by the project should be clearly indicated using the nomenclature and numbering found in </w:t>
      </w:r>
      <w:hyperlink w:anchor="Annex1KeyPriorities" w:history="1">
        <w:r w:rsidRPr="00CA1D44">
          <w:rPr>
            <w:rStyle w:val="Hyperlink"/>
          </w:rPr>
          <w:t xml:space="preserve">Annex </w:t>
        </w:r>
        <w:r w:rsidR="00A81605" w:rsidRPr="00CA1D44">
          <w:rPr>
            <w:rStyle w:val="Hyperlink"/>
          </w:rPr>
          <w:t>1</w:t>
        </w:r>
      </w:hyperlink>
      <w:r>
        <w:t xml:space="preserve">. </w:t>
      </w:r>
    </w:p>
    <w:p w:rsidR="007050B8" w:rsidRDefault="00D529D1" w:rsidP="007050B8">
      <w:pPr>
        <w:pStyle w:val="Heading2"/>
      </w:pPr>
      <w:bookmarkStart w:id="13" w:name="_Toc341274791"/>
      <w:r>
        <w:t>Co-Directors</w:t>
      </w:r>
      <w:bookmarkEnd w:id="13"/>
    </w:p>
    <w:p w:rsidR="007050B8" w:rsidRDefault="007050B8" w:rsidP="007050B8">
      <w:pPr>
        <w:pStyle w:val="Body"/>
      </w:pPr>
      <w:r>
        <w:t xml:space="preserve">Please fill in all information for </w:t>
      </w:r>
      <w:r w:rsidR="00D529D1">
        <w:t>each</w:t>
      </w:r>
      <w:r>
        <w:t xml:space="preserve"> </w:t>
      </w:r>
      <w:r w:rsidRPr="00D529D1">
        <w:t>Co-Director</w:t>
      </w:r>
      <w:r>
        <w:t>. If additional space is needed, please copy and paste the table for the final Co-Director as many times as necessary.</w:t>
      </w:r>
    </w:p>
    <w:p w:rsidR="00D529D1" w:rsidRDefault="00D529D1" w:rsidP="00D529D1">
      <w:pPr>
        <w:pStyle w:val="Heading2"/>
      </w:pPr>
      <w:bookmarkStart w:id="14" w:name="_Toc341274792"/>
      <w:r>
        <w:t>End Users</w:t>
      </w:r>
      <w:bookmarkEnd w:id="14"/>
    </w:p>
    <w:p w:rsidR="007050B8" w:rsidRDefault="007050B8" w:rsidP="00231CC2">
      <w:pPr>
        <w:pStyle w:val="Body"/>
      </w:pPr>
      <w:r>
        <w:t xml:space="preserve">Please identify at least one </w:t>
      </w:r>
      <w:r w:rsidRPr="00D529D1">
        <w:t>End User</w:t>
      </w:r>
      <w:r>
        <w:t xml:space="preserve"> for project results. For a technology-development project, the end user may be</w:t>
      </w:r>
      <w:r w:rsidRPr="007050B8">
        <w:t xml:space="preserve"> </w:t>
      </w:r>
      <w:r>
        <w:t xml:space="preserve">a representative of a company to which the project’s technology will be </w:t>
      </w:r>
      <w:r w:rsidR="00231CC2">
        <w:t xml:space="preserve">transferred for commercialization. Other types of project may have End-Users from, for example, </w:t>
      </w:r>
      <w:r w:rsidR="00231CC2" w:rsidRPr="00231CC2">
        <w:t xml:space="preserve">a Government ministry, State organisation, </w:t>
      </w:r>
      <w:r w:rsidR="00231CC2">
        <w:t xml:space="preserve">or </w:t>
      </w:r>
      <w:r w:rsidR="00231CC2" w:rsidRPr="00231CC2">
        <w:t>regional</w:t>
      </w:r>
      <w:r w:rsidR="00231CC2">
        <w:t xml:space="preserve"> or local</w:t>
      </w:r>
      <w:r w:rsidR="00231CC2" w:rsidRPr="00231CC2">
        <w:t xml:space="preserve"> authority</w:t>
      </w:r>
      <w:r w:rsidR="00231CC2">
        <w:t xml:space="preserve">. </w:t>
      </w:r>
      <w:r>
        <w:t>Private/Commercial/Industrial</w:t>
      </w:r>
      <w:r w:rsidR="000F7FBA">
        <w:t>. For-profit c</w:t>
      </w:r>
      <w:r>
        <w:t xml:space="preserve">ompanies are not eligible to receive </w:t>
      </w:r>
      <w:r w:rsidR="000F7FBA">
        <w:t xml:space="preserve">SPS </w:t>
      </w:r>
      <w:r>
        <w:t>funding</w:t>
      </w:r>
      <w:r w:rsidR="00231CC2">
        <w:t>, but certainly may be involved as End Users</w:t>
      </w:r>
      <w:r>
        <w:t>.</w:t>
      </w:r>
    </w:p>
    <w:p w:rsidR="00231CC2" w:rsidRDefault="00231CC2" w:rsidP="00231CC2">
      <w:pPr>
        <w:pStyle w:val="Heading2"/>
      </w:pPr>
      <w:bookmarkStart w:id="15" w:name="_Toc341274793"/>
      <w:r>
        <w:t>Related Projects</w:t>
      </w:r>
      <w:bookmarkEnd w:id="15"/>
    </w:p>
    <w:p w:rsidR="00231CC2" w:rsidRPr="00231CC2" w:rsidRDefault="00231CC2" w:rsidP="00231CC2">
      <w:pPr>
        <w:pStyle w:val="Body"/>
      </w:pPr>
      <w:r>
        <w:t>Please list other proposed, ongoing, or recently completed activities on the same or related topic involving Project participants, Co-Directors or otherwise. In the case of proposals, please indicate the requested dates and budgets.</w:t>
      </w:r>
    </w:p>
    <w:p w:rsidR="007050B8" w:rsidRDefault="00231CC2" w:rsidP="00231CC2">
      <w:pPr>
        <w:pStyle w:val="Heading2"/>
      </w:pPr>
      <w:bookmarkStart w:id="16" w:name="_Toc341274794"/>
      <w:r>
        <w:t>Current Status</w:t>
      </w:r>
      <w:bookmarkEnd w:id="16"/>
    </w:p>
    <w:p w:rsidR="007050B8" w:rsidRPr="007050B8" w:rsidRDefault="00231CC2" w:rsidP="007050B8">
      <w:pPr>
        <w:pStyle w:val="Body"/>
      </w:pPr>
      <w:r>
        <w:t>In addition to the state-of-the-art worldwide, please also provide clear evidence of the capability of the project team to make a contribution.</w:t>
      </w:r>
    </w:p>
    <w:p w:rsidR="004F3E7D" w:rsidRDefault="004F3E7D" w:rsidP="00231CC2">
      <w:pPr>
        <w:pStyle w:val="Heading2"/>
      </w:pPr>
      <w:bookmarkStart w:id="17" w:name="_Toc341274795"/>
      <w:r>
        <w:t>Implementation</w:t>
      </w:r>
      <w:bookmarkEnd w:id="17"/>
    </w:p>
    <w:p w:rsidR="004F3E7D" w:rsidRDefault="004F3E7D" w:rsidP="004F3E7D">
      <w:pPr>
        <w:pStyle w:val="Body"/>
      </w:pPr>
      <w:r>
        <w:t xml:space="preserve">A plan for putting the results of the project into practical use. How will the end-user(s) be involved in the Project and how do they plan to implement the results? </w:t>
      </w:r>
    </w:p>
    <w:p w:rsidR="004F3E7D" w:rsidRDefault="004F3E7D" w:rsidP="004F3E7D">
      <w:pPr>
        <w:pStyle w:val="Body"/>
      </w:pPr>
      <w:r>
        <w:t>A plan for disseminating important knowledge gained by the project teams to the appropriate communities in Partner countries and internationally.</w:t>
      </w:r>
    </w:p>
    <w:p w:rsidR="004F3E7D" w:rsidRPr="004F3E7D" w:rsidRDefault="004F3E7D" w:rsidP="004F3E7D">
      <w:pPr>
        <w:pStyle w:val="Body"/>
      </w:pPr>
      <w:r>
        <w:t>A commitment that all publications of results gained through this multi-year Project will include an acknowledgement of NATO’s support.</w:t>
      </w:r>
    </w:p>
    <w:p w:rsidR="00231CC2" w:rsidRDefault="00231CC2" w:rsidP="00231CC2">
      <w:pPr>
        <w:pStyle w:val="Heading2"/>
      </w:pPr>
      <w:bookmarkStart w:id="18" w:name="_Toc341274796"/>
      <w:r>
        <w:t>Schedule</w:t>
      </w:r>
      <w:bookmarkEnd w:id="18"/>
    </w:p>
    <w:p w:rsidR="00231CC2" w:rsidRDefault="00231CC2" w:rsidP="00231CC2">
      <w:pPr>
        <w:pStyle w:val="Body"/>
      </w:pPr>
      <w:r>
        <w:t xml:space="preserve">An example summary chart is shown in </w:t>
      </w:r>
      <w:hyperlink w:anchor="Annex6Schedule" w:history="1">
        <w:r w:rsidR="004D7616" w:rsidRPr="00CA1D44">
          <w:rPr>
            <w:rStyle w:val="Hyperlink"/>
          </w:rPr>
          <w:t xml:space="preserve">Annex </w:t>
        </w:r>
        <w:r w:rsidR="004D7616">
          <w:rPr>
            <w:rStyle w:val="Hyperlink"/>
          </w:rPr>
          <w:t>5</w:t>
        </w:r>
      </w:hyperlink>
      <w:r>
        <w:t>.</w:t>
      </w:r>
    </w:p>
    <w:p w:rsidR="00231CC2" w:rsidRDefault="00231CC2" w:rsidP="00231CC2">
      <w:pPr>
        <w:pStyle w:val="Heading2"/>
      </w:pPr>
      <w:bookmarkStart w:id="19" w:name="_Toc341274797"/>
      <w:r>
        <w:t>Project Roles</w:t>
      </w:r>
      <w:bookmarkEnd w:id="19"/>
    </w:p>
    <w:p w:rsidR="00231CC2" w:rsidRPr="00231CC2" w:rsidRDefault="00231CC2" w:rsidP="00231CC2">
      <w:pPr>
        <w:pStyle w:val="Body"/>
      </w:pPr>
      <w:r>
        <w:t>Please identify all scientists involved in the project, not just the Co-Directors. Note that the pa</w:t>
      </w:r>
      <w:r w:rsidR="00695094">
        <w:t xml:space="preserve">rticipation of young scientists is </w:t>
      </w:r>
      <w:r w:rsidR="0039185C">
        <w:t>a key part of an SPS Project.</w:t>
      </w:r>
    </w:p>
    <w:p w:rsidR="005A28FE" w:rsidRDefault="005A28FE" w:rsidP="00231CC2">
      <w:pPr>
        <w:pStyle w:val="Heading2"/>
      </w:pPr>
      <w:bookmarkStart w:id="20" w:name="_Toc341274798"/>
      <w:r>
        <w:t>Training</w:t>
      </w:r>
      <w:bookmarkEnd w:id="20"/>
    </w:p>
    <w:p w:rsidR="005A28FE" w:rsidRDefault="005A28FE" w:rsidP="005A28FE">
      <w:pPr>
        <w:pStyle w:val="Body"/>
      </w:pPr>
      <w:r>
        <w:t>A plan for training opportunities for project participants, particularly for young scientists. While training is an important component of SPS Projects, SPS does not support fellowships so training should be of limited duration, generally three months or less per person per year with strong justification required beyond this.</w:t>
      </w:r>
    </w:p>
    <w:p w:rsidR="005A28FE" w:rsidRDefault="005A28FE" w:rsidP="00231CC2">
      <w:pPr>
        <w:pStyle w:val="Heading2"/>
      </w:pPr>
      <w:bookmarkStart w:id="21" w:name="_Toc341274799"/>
      <w:r>
        <w:t>Travel</w:t>
      </w:r>
      <w:bookmarkEnd w:id="21"/>
    </w:p>
    <w:p w:rsidR="005A28FE" w:rsidRPr="005A28FE" w:rsidRDefault="005A28FE" w:rsidP="005A28FE">
      <w:pPr>
        <w:pStyle w:val="Body"/>
      </w:pPr>
      <w:r>
        <w:t xml:space="preserve">A plan of travel for information exchange, including project meetings, internal and external workshops, and </w:t>
      </w:r>
      <w:r w:rsidR="004F3E7D">
        <w:t xml:space="preserve">international meetings and </w:t>
      </w:r>
      <w:r>
        <w:t xml:space="preserve">conferences. </w:t>
      </w:r>
    </w:p>
    <w:p w:rsidR="00231CC2" w:rsidRDefault="005A28FE" w:rsidP="00231CC2">
      <w:pPr>
        <w:pStyle w:val="Heading2"/>
      </w:pPr>
      <w:bookmarkStart w:id="22" w:name="_Toc341274800"/>
      <w:r>
        <w:t>Advisors</w:t>
      </w:r>
      <w:r w:rsidR="004F3E7D">
        <w:t xml:space="preserve"> and Experts</w:t>
      </w:r>
      <w:bookmarkEnd w:id="22"/>
    </w:p>
    <w:p w:rsidR="006F56B9" w:rsidRDefault="004F3E7D" w:rsidP="00231CC2">
      <w:pPr>
        <w:pStyle w:val="Body"/>
      </w:pPr>
      <w:r>
        <w:t>A p</w:t>
      </w:r>
      <w:r w:rsidR="00231CC2">
        <w:t>l</w:t>
      </w:r>
      <w:r>
        <w:t>an for the involvement of outside Advisors and Experts in the project, if necessary. Only e</w:t>
      </w:r>
      <w:r w:rsidRPr="004F3E7D">
        <w:t>xperts</w:t>
      </w:r>
      <w:r>
        <w:t xml:space="preserve"> and </w:t>
      </w:r>
      <w:r w:rsidRPr="004F3E7D">
        <w:t>advisors</w:t>
      </w:r>
      <w:r>
        <w:t xml:space="preserve"> from a NATO country can</w:t>
      </w:r>
      <w:r w:rsidRPr="004F3E7D">
        <w:t xml:space="preserve"> be paid from </w:t>
      </w:r>
      <w:r>
        <w:t xml:space="preserve">SPS Project </w:t>
      </w:r>
      <w:r w:rsidRPr="004F3E7D">
        <w:t>funds</w:t>
      </w:r>
      <w:r>
        <w:t xml:space="preserve">, and only </w:t>
      </w:r>
      <w:r w:rsidRPr="004F3E7D">
        <w:t>in order to help</w:t>
      </w:r>
      <w:r>
        <w:t xml:space="preserve"> the p</w:t>
      </w:r>
      <w:r w:rsidRPr="004F3E7D">
        <w:t>artner country solv</w:t>
      </w:r>
      <w:r>
        <w:t>e</w:t>
      </w:r>
      <w:r w:rsidRPr="004F3E7D">
        <w:t xml:space="preserve"> a </w:t>
      </w:r>
      <w:r w:rsidR="00713AC5" w:rsidRPr="00713AC5">
        <w:rPr>
          <w:b/>
        </w:rPr>
        <w:t>specific project-related problem</w:t>
      </w:r>
      <w:r w:rsidRPr="004F3E7D">
        <w:t xml:space="preserve">. These visits may not exceed </w:t>
      </w:r>
      <w:r>
        <w:t>ten</w:t>
      </w:r>
      <w:r w:rsidRPr="004F3E7D">
        <w:t xml:space="preserve"> days per expert per year</w:t>
      </w:r>
      <w:r w:rsidR="008E7F30">
        <w:t xml:space="preserve"> and are limited to €</w:t>
      </w:r>
      <w:r w:rsidR="000672E7">
        <w:t>3</w:t>
      </w:r>
      <w:r w:rsidR="008E7F30">
        <w:t>00 per day</w:t>
      </w:r>
      <w:r w:rsidR="000672E7">
        <w:t xml:space="preserve"> and ten days per year.</w:t>
      </w:r>
    </w:p>
    <w:p w:rsidR="004F3E7D" w:rsidRDefault="004F3E7D" w:rsidP="004F3E7D">
      <w:pPr>
        <w:pStyle w:val="Heading2"/>
      </w:pPr>
      <w:bookmarkStart w:id="23" w:name="_Toc341274801"/>
      <w:r>
        <w:t>Criteria for Success</w:t>
      </w:r>
      <w:bookmarkEnd w:id="23"/>
    </w:p>
    <w:p w:rsidR="004F3E7D" w:rsidRDefault="00151B3D" w:rsidP="004F3E7D">
      <w:pPr>
        <w:pStyle w:val="Body"/>
      </w:pPr>
      <w:hyperlink w:anchor="Annex7Criteria" w:history="1">
        <w:r w:rsidR="004D7616" w:rsidRPr="00CA1D44">
          <w:rPr>
            <w:rStyle w:val="Hyperlink"/>
          </w:rPr>
          <w:t xml:space="preserve">Annex </w:t>
        </w:r>
        <w:r w:rsidR="004D7616">
          <w:rPr>
            <w:rStyle w:val="Hyperlink"/>
          </w:rPr>
          <w:t>6</w:t>
        </w:r>
      </w:hyperlink>
      <w:r w:rsidR="004D7616" w:rsidRPr="004F3E7D">
        <w:t xml:space="preserve"> </w:t>
      </w:r>
      <w:r w:rsidR="004F3E7D" w:rsidRPr="004F3E7D">
        <w:t>provides examples of criteria for success statements.</w:t>
      </w:r>
      <w:r w:rsidR="004F3E7D">
        <w:t xml:space="preserve"> </w:t>
      </w:r>
      <w:r w:rsidR="000F7FBA">
        <w:t>Please ensure that these criteria are measurable and as quantitative as possible.</w:t>
      </w:r>
    </w:p>
    <w:p w:rsidR="00D529D1" w:rsidRDefault="00D529D1" w:rsidP="00D529D1">
      <w:pPr>
        <w:pStyle w:val="Heading2"/>
      </w:pPr>
      <w:bookmarkStart w:id="24" w:name="_Toc341274802"/>
      <w:r>
        <w:t>Budget</w:t>
      </w:r>
      <w:bookmarkEnd w:id="24"/>
    </w:p>
    <w:p w:rsidR="00D529D1" w:rsidRDefault="00D529D1" w:rsidP="00D529D1">
      <w:pPr>
        <w:pStyle w:val="Body"/>
      </w:pPr>
      <w:r>
        <w:t>Please complete a detailed budget table for each Co-Director. Note that the template contains embedded Microsoft Excel files; double-click on these to edit them, and please assure that they are scrolled all the way to the top before clicking outside them to return to Microsoft Word.</w:t>
      </w:r>
      <w:r w:rsidR="008C0F75">
        <w:t xml:space="preserve"> If additional tables are needed, please copy and paste the final table as required.</w:t>
      </w:r>
    </w:p>
    <w:p w:rsidR="00D529D1" w:rsidRPr="00EC2BA5" w:rsidRDefault="00D529D1" w:rsidP="00D529D1">
      <w:pPr>
        <w:pStyle w:val="Body"/>
      </w:pPr>
      <w:r w:rsidRPr="00EC2BA5">
        <w:t xml:space="preserve">Please note: </w:t>
      </w:r>
    </w:p>
    <w:p w:rsidR="00D529D1" w:rsidRPr="00D529D1" w:rsidRDefault="00D529D1" w:rsidP="00D529D1">
      <w:pPr>
        <w:pStyle w:val="Body"/>
        <w:numPr>
          <w:ilvl w:val="0"/>
          <w:numId w:val="15"/>
        </w:numPr>
      </w:pPr>
      <w:r>
        <w:rPr>
          <w:i/>
        </w:rPr>
        <w:t xml:space="preserve">(a) </w:t>
      </w:r>
      <w:r w:rsidRPr="00D529D1">
        <w:rPr>
          <w:i/>
        </w:rPr>
        <w:t>Equipment</w:t>
      </w:r>
      <w:r w:rsidRPr="00D529D1">
        <w:t xml:space="preserve"> and </w:t>
      </w:r>
      <w:r w:rsidRPr="00D529D1">
        <w:rPr>
          <w:i/>
        </w:rPr>
        <w:t>(b</w:t>
      </w:r>
      <w:r>
        <w:rPr>
          <w:i/>
        </w:rPr>
        <w:t xml:space="preserve">) </w:t>
      </w:r>
      <w:r w:rsidRPr="00D529D1">
        <w:rPr>
          <w:i/>
        </w:rPr>
        <w:t>Computers and Software</w:t>
      </w:r>
      <w:r w:rsidRPr="00D529D1">
        <w:t xml:space="preserve"> must be project-specific.</w:t>
      </w:r>
    </w:p>
    <w:p w:rsidR="00D529D1" w:rsidRDefault="00D529D1" w:rsidP="00D529D1">
      <w:pPr>
        <w:pStyle w:val="Body"/>
        <w:numPr>
          <w:ilvl w:val="0"/>
          <w:numId w:val="15"/>
        </w:numPr>
      </w:pPr>
      <w:r w:rsidRPr="00D529D1">
        <w:rPr>
          <w:i/>
        </w:rPr>
        <w:t>(c) Training</w:t>
      </w:r>
      <w:r w:rsidRPr="00EC2BA5">
        <w:t xml:space="preserve"> represents the </w:t>
      </w:r>
      <w:r w:rsidRPr="00D529D1">
        <w:rPr>
          <w:i/>
        </w:rPr>
        <w:t>total</w:t>
      </w:r>
      <w:r w:rsidRPr="00EC2BA5">
        <w:t xml:space="preserve"> of the costs for</w:t>
      </w:r>
      <w:r>
        <w:t xml:space="preserve"> project related</w:t>
      </w:r>
      <w:r w:rsidRPr="00EC2BA5">
        <w:t xml:space="preserve"> training abroad including travel costs, living expenses and possible training fees.</w:t>
      </w:r>
    </w:p>
    <w:p w:rsidR="008C0F75" w:rsidRDefault="00D529D1" w:rsidP="00D529D1">
      <w:pPr>
        <w:pStyle w:val="Body"/>
        <w:numPr>
          <w:ilvl w:val="0"/>
          <w:numId w:val="15"/>
        </w:numPr>
      </w:pPr>
      <w:r w:rsidRPr="008C0F75">
        <w:rPr>
          <w:i/>
        </w:rPr>
        <w:t>(f) Travel</w:t>
      </w:r>
      <w:r w:rsidRPr="00EC2BA5">
        <w:t xml:space="preserve"> represents the </w:t>
      </w:r>
      <w:r w:rsidRPr="008C0F75">
        <w:rPr>
          <w:i/>
        </w:rPr>
        <w:t>total</w:t>
      </w:r>
      <w:r w:rsidRPr="00EC2BA5">
        <w:t xml:space="preserve"> of the costs for participation at </w:t>
      </w:r>
      <w:r>
        <w:t xml:space="preserve">project related </w:t>
      </w:r>
      <w:r w:rsidRPr="00EC2BA5">
        <w:t>meetings, workshops and conferences including travel costs, living expenses and possible conference fees.</w:t>
      </w:r>
    </w:p>
    <w:p w:rsidR="00D529D1" w:rsidRDefault="00D529D1" w:rsidP="00D529D1">
      <w:pPr>
        <w:pStyle w:val="Body"/>
        <w:numPr>
          <w:ilvl w:val="0"/>
          <w:numId w:val="15"/>
        </w:numPr>
      </w:pPr>
      <w:r>
        <w:t xml:space="preserve">When </w:t>
      </w:r>
      <w:r w:rsidR="008C0F75">
        <w:t xml:space="preserve">calculating costs for Training and </w:t>
      </w:r>
      <w:r>
        <w:t>Travel it is assumed that if a mission will exceed 10 days special accommodation is to be provide</w:t>
      </w:r>
      <w:r w:rsidR="008C0F75">
        <w:t xml:space="preserve">d by the host institution, </w:t>
      </w:r>
      <w:r>
        <w:t>result</w:t>
      </w:r>
      <w:r w:rsidR="008C0F75">
        <w:t>ing</w:t>
      </w:r>
      <w:r>
        <w:t xml:space="preserve"> in reduced accommodation expenses.</w:t>
      </w:r>
    </w:p>
    <w:p w:rsidR="008C0F75" w:rsidRDefault="008C0F75" w:rsidP="008C0F75">
      <w:pPr>
        <w:pStyle w:val="Body"/>
      </w:pPr>
      <w:r>
        <w:t xml:space="preserve">Please see </w:t>
      </w:r>
      <w:hyperlink w:anchor="Annex2Funding" w:history="1">
        <w:r w:rsidR="004D7616" w:rsidRPr="004D7616">
          <w:rPr>
            <w:rStyle w:val="Hyperlink"/>
          </w:rPr>
          <w:t>Annex 2</w:t>
        </w:r>
        <w:r w:rsidRPr="004D7616">
          <w:rPr>
            <w:rStyle w:val="Hyperlink"/>
          </w:rPr>
          <w:t xml:space="preserve"> </w:t>
        </w:r>
      </w:hyperlink>
      <w:r>
        <w:t>for further information on the use of NATO SPS funds.</w:t>
      </w:r>
    </w:p>
    <w:p w:rsidR="008C0F75" w:rsidRDefault="008C0F75" w:rsidP="008C0F75">
      <w:pPr>
        <w:pStyle w:val="Heading2"/>
      </w:pPr>
      <w:bookmarkStart w:id="25" w:name="_Toc341274803"/>
      <w:r>
        <w:t>Agreement</w:t>
      </w:r>
      <w:bookmarkEnd w:id="25"/>
    </w:p>
    <w:p w:rsidR="008C0F75" w:rsidRDefault="008C0F75" w:rsidP="008C0F75">
      <w:pPr>
        <w:pStyle w:val="Body"/>
      </w:pPr>
      <w:r>
        <w:t>All Co-Directors must sign the research agreement, along with a suitable representative from their institution.</w:t>
      </w:r>
    </w:p>
    <w:p w:rsidR="008C0F75" w:rsidRDefault="008C0F75" w:rsidP="008C0F75">
      <w:pPr>
        <w:pStyle w:val="Heading2"/>
      </w:pPr>
      <w:bookmarkStart w:id="26" w:name="_Toc341274804"/>
      <w:r>
        <w:t>Annexes</w:t>
      </w:r>
      <w:bookmarkEnd w:id="26"/>
    </w:p>
    <w:p w:rsidR="0058543C" w:rsidRPr="00ED3C77" w:rsidRDefault="008C0F75" w:rsidP="00A81605">
      <w:pPr>
        <w:pStyle w:val="Body"/>
      </w:pPr>
      <w:r>
        <w:t>For Projects which may lead to new intellectual property, an agreement on Intellectual Property Rights (IPR) must be included</w:t>
      </w:r>
      <w:r w:rsidRPr="00197530">
        <w:t xml:space="preserve">. </w:t>
      </w:r>
      <w:hyperlink w:anchor="Annex8IPR" w:history="1">
        <w:r w:rsidR="004D7616" w:rsidRPr="00CA1D44">
          <w:rPr>
            <w:rStyle w:val="Hyperlink"/>
          </w:rPr>
          <w:t xml:space="preserve">Annex </w:t>
        </w:r>
        <w:r w:rsidR="004D7616">
          <w:rPr>
            <w:rStyle w:val="Hyperlink"/>
          </w:rPr>
          <w:t>7</w:t>
        </w:r>
      </w:hyperlink>
      <w:r w:rsidR="004D7616">
        <w:t xml:space="preserve"> </w:t>
      </w:r>
      <w:r w:rsidR="00CA1D44">
        <w:t xml:space="preserve">to these guidelines </w:t>
      </w:r>
      <w:r>
        <w:t>provides an example IPR agreement.</w:t>
      </w:r>
      <w:r w:rsidR="00F51C80">
        <w:t xml:space="preserve"> </w:t>
      </w:r>
      <w:r>
        <w:t>In the absence of such an agreement please include a statement that it is unnecessary signed by each Co-Director and a suitable representative of his or her institution.</w:t>
      </w:r>
      <w:bookmarkEnd w:id="0"/>
    </w:p>
    <w:p w:rsidR="003002B1" w:rsidRDefault="003002B1" w:rsidP="003002B1">
      <w:pPr>
        <w:pStyle w:val="Heading1"/>
      </w:pPr>
      <w:bookmarkStart w:id="27" w:name="_Toc341274805"/>
      <w:r>
        <w:t>List of Annexes</w:t>
      </w:r>
      <w:bookmarkEnd w:id="27"/>
    </w:p>
    <w:p w:rsidR="003002B1" w:rsidRDefault="003002B1" w:rsidP="008512C6">
      <w:pPr>
        <w:pStyle w:val="Body"/>
        <w:numPr>
          <w:ilvl w:val="0"/>
          <w:numId w:val="10"/>
        </w:numPr>
        <w:tabs>
          <w:tab w:val="clear" w:pos="720"/>
          <w:tab w:val="num" w:pos="1418"/>
        </w:tabs>
        <w:spacing w:after="0"/>
      </w:pPr>
      <w:r>
        <w:t>SPS Key Priorities</w:t>
      </w:r>
    </w:p>
    <w:p w:rsidR="003002B1" w:rsidRDefault="003002B1" w:rsidP="008512C6">
      <w:pPr>
        <w:pStyle w:val="Body"/>
        <w:numPr>
          <w:ilvl w:val="0"/>
          <w:numId w:val="10"/>
        </w:numPr>
        <w:tabs>
          <w:tab w:val="clear" w:pos="720"/>
          <w:tab w:val="num" w:pos="1418"/>
        </w:tabs>
        <w:spacing w:after="0"/>
      </w:pPr>
      <w:r>
        <w:t>Funding</w:t>
      </w:r>
    </w:p>
    <w:p w:rsidR="00783DC7" w:rsidRDefault="00CE5A91" w:rsidP="00CA1D44">
      <w:pPr>
        <w:pStyle w:val="Body"/>
        <w:numPr>
          <w:ilvl w:val="0"/>
          <w:numId w:val="10"/>
        </w:numPr>
        <w:tabs>
          <w:tab w:val="clear" w:pos="720"/>
          <w:tab w:val="num" w:pos="1418"/>
        </w:tabs>
        <w:spacing w:after="0"/>
      </w:pPr>
      <w:r>
        <w:t>Definitions</w:t>
      </w:r>
    </w:p>
    <w:p w:rsidR="00CA1D44" w:rsidRDefault="00CA1D44" w:rsidP="00CA1D44">
      <w:pPr>
        <w:pStyle w:val="Body"/>
        <w:numPr>
          <w:ilvl w:val="0"/>
          <w:numId w:val="10"/>
        </w:numPr>
        <w:tabs>
          <w:tab w:val="clear" w:pos="720"/>
          <w:tab w:val="num" w:pos="1418"/>
        </w:tabs>
        <w:spacing w:after="0"/>
      </w:pPr>
      <w:r>
        <w:t>Consultants</w:t>
      </w:r>
    </w:p>
    <w:p w:rsidR="00CA1D44" w:rsidRDefault="00CA1D44" w:rsidP="00CA1D44">
      <w:pPr>
        <w:pStyle w:val="Body"/>
        <w:numPr>
          <w:ilvl w:val="0"/>
          <w:numId w:val="10"/>
        </w:numPr>
        <w:tabs>
          <w:tab w:val="clear" w:pos="720"/>
          <w:tab w:val="num" w:pos="1418"/>
        </w:tabs>
        <w:spacing w:after="0"/>
      </w:pPr>
      <w:r>
        <w:t>Example Schedule</w:t>
      </w:r>
    </w:p>
    <w:p w:rsidR="00CA1D44" w:rsidRDefault="00CA1D44" w:rsidP="00CA1D44">
      <w:pPr>
        <w:pStyle w:val="Body"/>
        <w:numPr>
          <w:ilvl w:val="0"/>
          <w:numId w:val="10"/>
        </w:numPr>
        <w:tabs>
          <w:tab w:val="clear" w:pos="720"/>
          <w:tab w:val="num" w:pos="1418"/>
        </w:tabs>
        <w:spacing w:after="0"/>
      </w:pPr>
      <w:r>
        <w:t>Example Criteria for Success</w:t>
      </w:r>
    </w:p>
    <w:p w:rsidR="00CA1D44" w:rsidRDefault="004D7616" w:rsidP="00CA1D44">
      <w:pPr>
        <w:pStyle w:val="Body"/>
        <w:numPr>
          <w:ilvl w:val="0"/>
          <w:numId w:val="10"/>
        </w:numPr>
        <w:tabs>
          <w:tab w:val="clear" w:pos="720"/>
          <w:tab w:val="num" w:pos="1418"/>
        </w:tabs>
        <w:spacing w:after="0"/>
      </w:pPr>
      <w:r>
        <w:t xml:space="preserve">Model </w:t>
      </w:r>
      <w:r w:rsidR="00CA1D44">
        <w:t>Intellectual Property Rights</w:t>
      </w:r>
      <w:r>
        <w:t xml:space="preserve"> Agreement</w:t>
      </w:r>
    </w:p>
    <w:p w:rsidR="00CA1D44" w:rsidRPr="003002B1" w:rsidRDefault="00CA1D44" w:rsidP="00CA1D44">
      <w:pPr>
        <w:pStyle w:val="Body"/>
        <w:spacing w:after="0"/>
        <w:ind w:left="360"/>
        <w:sectPr w:rsidR="00CA1D44" w:rsidRPr="003002B1" w:rsidSect="00092F5C">
          <w:headerReference w:type="even" r:id="rId15"/>
          <w:headerReference w:type="default" r:id="rId16"/>
          <w:footerReference w:type="even" r:id="rId17"/>
          <w:footerReference w:type="default" r:id="rId18"/>
          <w:headerReference w:type="first" r:id="rId19"/>
          <w:footerReference w:type="first" r:id="rId20"/>
          <w:footnotePr>
            <w:numFmt w:val="chicago"/>
            <w:numRestart w:val="eachPage"/>
          </w:footnotePr>
          <w:pgSz w:w="12240" w:h="15840" w:code="1"/>
          <w:pgMar w:top="340" w:right="907" w:bottom="340" w:left="907" w:header="720" w:footer="720" w:gutter="0"/>
          <w:cols w:space="720"/>
          <w:titlePg/>
        </w:sectPr>
      </w:pPr>
    </w:p>
    <w:tbl>
      <w:tblPr>
        <w:tblW w:w="0" w:type="auto"/>
        <w:tblInd w:w="108" w:type="dxa"/>
        <w:tblBorders>
          <w:bottom w:val="single" w:sz="4" w:space="0" w:color="auto"/>
        </w:tblBorders>
        <w:tblLayout w:type="fixed"/>
        <w:tblCellMar>
          <w:bottom w:w="142" w:type="dxa"/>
        </w:tblCellMar>
        <w:tblLook w:val="0000"/>
      </w:tblPr>
      <w:tblGrid>
        <w:gridCol w:w="993"/>
        <w:gridCol w:w="9355"/>
      </w:tblGrid>
      <w:tr w:rsidR="000A5DB2" w:rsidRPr="00ED3C77">
        <w:trPr>
          <w:trHeight w:val="1881"/>
        </w:trPr>
        <w:tc>
          <w:tcPr>
            <w:tcW w:w="993" w:type="dxa"/>
            <w:vAlign w:val="center"/>
          </w:tcPr>
          <w:p w:rsidR="000A5DB2" w:rsidRPr="00ED3C77" w:rsidRDefault="000A15BE" w:rsidP="00E33755">
            <w:pPr>
              <w:jc w:val="center"/>
              <w:rPr>
                <w:b/>
                <w:bCs/>
              </w:rPr>
            </w:pPr>
            <w:bookmarkStart w:id="28" w:name="Annex1KeyPriorities"/>
            <w:bookmarkEnd w:id="28"/>
            <w:r>
              <w:rPr>
                <w:b/>
                <w:bCs/>
                <w:noProof/>
                <w:lang w:val="en-US"/>
              </w:rPr>
              <w:drawing>
                <wp:inline distT="0" distB="0" distL="0" distR="0">
                  <wp:extent cx="581025" cy="11620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81025" cy="1162050"/>
                          </a:xfrm>
                          <a:prstGeom prst="rect">
                            <a:avLst/>
                          </a:prstGeom>
                          <a:noFill/>
                          <a:ln w="9525">
                            <a:noFill/>
                            <a:miter lim="800000"/>
                            <a:headEnd/>
                            <a:tailEnd/>
                          </a:ln>
                        </pic:spPr>
                      </pic:pic>
                    </a:graphicData>
                  </a:graphic>
                </wp:inline>
              </w:drawing>
            </w:r>
          </w:p>
        </w:tc>
        <w:tc>
          <w:tcPr>
            <w:tcW w:w="9355" w:type="dxa"/>
            <w:vAlign w:val="center"/>
          </w:tcPr>
          <w:p w:rsidR="000A5DB2" w:rsidRPr="00ED3C77" w:rsidRDefault="000A5DB2" w:rsidP="000A5DB2">
            <w:pPr>
              <w:spacing w:after="120"/>
              <w:jc w:val="center"/>
              <w:rPr>
                <w:b/>
                <w:bCs/>
                <w:color w:val="3487C8"/>
                <w:sz w:val="22"/>
                <w:szCs w:val="22"/>
              </w:rPr>
            </w:pPr>
            <w:r w:rsidRPr="00ED3C77">
              <w:rPr>
                <w:b/>
                <w:bCs/>
                <w:color w:val="3487C8"/>
                <w:sz w:val="22"/>
                <w:szCs w:val="22"/>
              </w:rPr>
              <w:t>Emerging Security Challenges Division</w:t>
            </w:r>
          </w:p>
          <w:p w:rsidR="000A5DB2" w:rsidRPr="00ED3C77" w:rsidRDefault="000A5DB2" w:rsidP="000A5DB2">
            <w:pPr>
              <w:spacing w:after="200"/>
              <w:jc w:val="center"/>
              <w:rPr>
                <w:b/>
                <w:bCs/>
                <w:color w:val="3487C8"/>
                <w:sz w:val="28"/>
                <w:szCs w:val="28"/>
              </w:rPr>
            </w:pPr>
            <w:r w:rsidRPr="00ED3C77">
              <w:rPr>
                <w:b/>
                <w:bCs/>
                <w:color w:val="3487C8"/>
                <w:sz w:val="28"/>
                <w:szCs w:val="28"/>
              </w:rPr>
              <w:t>Science for Peace and Security Programme</w:t>
            </w:r>
          </w:p>
          <w:p w:rsidR="00A81605" w:rsidRPr="00A81605" w:rsidRDefault="00B508CD" w:rsidP="00A81605">
            <w:pPr>
              <w:jc w:val="center"/>
              <w:rPr>
                <w:rFonts w:ascii="Arial" w:hAnsi="Arial" w:cs="Arial"/>
                <w:b/>
                <w:sz w:val="28"/>
                <w:szCs w:val="28"/>
              </w:rPr>
            </w:pPr>
            <w:r w:rsidRPr="00F07247">
              <w:rPr>
                <w:rFonts w:ascii="Arial" w:hAnsi="Arial" w:cs="Arial"/>
                <w:b/>
                <w:bCs/>
                <w:color w:val="00408B"/>
                <w:sz w:val="28"/>
                <w:szCs w:val="28"/>
              </w:rPr>
              <w:t>Guidelines for Applicants</w:t>
            </w:r>
            <w:r>
              <w:rPr>
                <w:rFonts w:ascii="Arial" w:hAnsi="Arial" w:cs="Arial"/>
                <w:b/>
                <w:bCs/>
                <w:color w:val="00408B"/>
                <w:sz w:val="28"/>
                <w:szCs w:val="28"/>
              </w:rPr>
              <w:t xml:space="preserve"> – Project Plan</w:t>
            </w:r>
          </w:p>
          <w:p w:rsidR="000A5DB2" w:rsidRPr="00A81605" w:rsidRDefault="000A5DB2" w:rsidP="00A81605">
            <w:pPr>
              <w:pStyle w:val="Heading1"/>
              <w:spacing w:before="0"/>
              <w:jc w:val="center"/>
              <w:rPr>
                <w:sz w:val="28"/>
                <w:szCs w:val="28"/>
              </w:rPr>
            </w:pPr>
            <w:bookmarkStart w:id="29" w:name="_Toc341274806"/>
            <w:r w:rsidRPr="00A81605">
              <w:rPr>
                <w:sz w:val="28"/>
                <w:szCs w:val="28"/>
              </w:rPr>
              <w:t>ANNEX 1: SPS Key Priorities</w:t>
            </w:r>
            <w:bookmarkEnd w:id="29"/>
          </w:p>
          <w:p w:rsidR="000A5DB2" w:rsidRPr="00ED3C77" w:rsidRDefault="000A5DB2" w:rsidP="000A5DB2">
            <w:pPr>
              <w:jc w:val="center"/>
              <w:rPr>
                <w:b/>
                <w:bCs/>
              </w:rPr>
            </w:pPr>
            <w:r w:rsidRPr="00ED3C77">
              <w:rPr>
                <w:szCs w:val="18"/>
              </w:rPr>
              <w:t xml:space="preserve">NATO Emerging Security Challenges Division, SPS Programme, Bd. Léopold </w:t>
            </w:r>
            <w:smartTag w:uri="urn:schemas-microsoft-com:office:smarttags" w:element="stockticker">
              <w:r w:rsidRPr="00ED3C77">
                <w:rPr>
                  <w:szCs w:val="18"/>
                </w:rPr>
                <w:t>III</w:t>
              </w:r>
            </w:smartTag>
            <w:r w:rsidRPr="00ED3C77">
              <w:rPr>
                <w:szCs w:val="18"/>
              </w:rPr>
              <w:t xml:space="preserve">, </w:t>
            </w:r>
            <w:r w:rsidRPr="00ED3C77" w:rsidDel="00C17795">
              <w:rPr>
                <w:szCs w:val="18"/>
              </w:rPr>
              <w:t>B-</w:t>
            </w:r>
            <w:r w:rsidRPr="00ED3C77">
              <w:rPr>
                <w:szCs w:val="18"/>
              </w:rPr>
              <w:t>1110 Brussels, Belgium</w:t>
            </w:r>
          </w:p>
        </w:tc>
      </w:tr>
    </w:tbl>
    <w:p w:rsidR="009543F7" w:rsidRPr="000A5DB2" w:rsidRDefault="009543F7" w:rsidP="000A5DB2">
      <w:pPr>
        <w:spacing w:before="240" w:after="60"/>
        <w:jc w:val="both"/>
        <w:rPr>
          <w:rFonts w:ascii="Arial" w:hAnsi="Arial" w:cs="Arial"/>
          <w:sz w:val="20"/>
        </w:rPr>
      </w:pPr>
      <w:r w:rsidRPr="000A5DB2">
        <w:rPr>
          <w:rFonts w:ascii="Arial" w:hAnsi="Arial" w:cs="Arial"/>
          <w:sz w:val="20"/>
        </w:rPr>
        <w:t xml:space="preserve">All activities funded under the SPS Programme must </w:t>
      </w:r>
      <w:r w:rsidR="002164A2" w:rsidRPr="000A5DB2">
        <w:rPr>
          <w:rFonts w:ascii="Arial" w:hAnsi="Arial" w:cs="Arial"/>
          <w:sz w:val="20"/>
        </w:rPr>
        <w:t>address</w:t>
      </w:r>
      <w:r w:rsidRPr="000A5DB2">
        <w:rPr>
          <w:rFonts w:ascii="Arial" w:hAnsi="Arial" w:cs="Arial"/>
          <w:sz w:val="20"/>
        </w:rPr>
        <w:t xml:space="preserve"> the SPS Key Priorities listed below and must have a clear link to security and to NATO’s strategic objectives.</w:t>
      </w:r>
    </w:p>
    <w:p w:rsidR="009543F7" w:rsidRPr="000A5DB2" w:rsidRDefault="009543F7" w:rsidP="00A81605">
      <w:pPr>
        <w:pStyle w:val="Heading2"/>
        <w:numPr>
          <w:ilvl w:val="0"/>
          <w:numId w:val="8"/>
        </w:numPr>
      </w:pPr>
      <w:bookmarkStart w:id="30" w:name="_Toc341274807"/>
      <w:r w:rsidRPr="000A5DB2">
        <w:t>Facilitate mutually beneficial cooperation on issues of common interest, including international efforts to meet emerging security challenges</w:t>
      </w:r>
      <w:bookmarkEnd w:id="30"/>
    </w:p>
    <w:p w:rsidR="009543F7" w:rsidRPr="000A5DB2" w:rsidRDefault="009543F7" w:rsidP="008512C6">
      <w:pPr>
        <w:numPr>
          <w:ilvl w:val="1"/>
          <w:numId w:val="8"/>
        </w:numPr>
        <w:jc w:val="both"/>
        <w:rPr>
          <w:rFonts w:ascii="Arial" w:hAnsi="Arial" w:cs="Arial"/>
          <w:i/>
          <w:sz w:val="20"/>
        </w:rPr>
      </w:pPr>
      <w:r w:rsidRPr="000A5DB2">
        <w:rPr>
          <w:rFonts w:ascii="Arial" w:hAnsi="Arial" w:cs="Arial"/>
          <w:i/>
          <w:sz w:val="20"/>
        </w:rPr>
        <w:t>Counter-Terrorism</w:t>
      </w:r>
    </w:p>
    <w:p w:rsidR="009543F7" w:rsidRPr="000A5DB2" w:rsidRDefault="009543F7" w:rsidP="008512C6">
      <w:pPr>
        <w:numPr>
          <w:ilvl w:val="2"/>
          <w:numId w:val="8"/>
        </w:numPr>
        <w:jc w:val="both"/>
        <w:rPr>
          <w:rFonts w:ascii="Arial" w:hAnsi="Arial" w:cs="Arial"/>
          <w:sz w:val="20"/>
        </w:rPr>
      </w:pPr>
      <w:r w:rsidRPr="000A5DB2">
        <w:rPr>
          <w:rFonts w:ascii="Arial" w:hAnsi="Arial" w:cs="Arial"/>
          <w:sz w:val="20"/>
        </w:rPr>
        <w:t xml:space="preserve">Methods for the protection of critical infrastructure, supplies and personnel </w:t>
      </w:r>
    </w:p>
    <w:p w:rsidR="009543F7" w:rsidRPr="000A5DB2" w:rsidRDefault="009543F7" w:rsidP="008512C6">
      <w:pPr>
        <w:numPr>
          <w:ilvl w:val="2"/>
          <w:numId w:val="8"/>
        </w:numPr>
        <w:jc w:val="both"/>
        <w:rPr>
          <w:rFonts w:ascii="Arial" w:hAnsi="Arial" w:cs="Arial"/>
          <w:sz w:val="20"/>
        </w:rPr>
      </w:pPr>
      <w:r w:rsidRPr="000A5DB2">
        <w:rPr>
          <w:rFonts w:ascii="Arial" w:hAnsi="Arial" w:cs="Arial"/>
          <w:sz w:val="20"/>
        </w:rPr>
        <w:t>Human factors in the defence against terrorism</w:t>
      </w:r>
    </w:p>
    <w:p w:rsidR="009543F7" w:rsidRPr="000A5DB2" w:rsidRDefault="009543F7" w:rsidP="008512C6">
      <w:pPr>
        <w:numPr>
          <w:ilvl w:val="2"/>
          <w:numId w:val="8"/>
        </w:numPr>
        <w:jc w:val="both"/>
        <w:rPr>
          <w:rFonts w:ascii="Arial" w:hAnsi="Arial" w:cs="Arial"/>
          <w:sz w:val="20"/>
        </w:rPr>
      </w:pPr>
      <w:r w:rsidRPr="000A5DB2">
        <w:rPr>
          <w:rFonts w:ascii="Arial" w:hAnsi="Arial" w:cs="Arial"/>
          <w:sz w:val="20"/>
        </w:rPr>
        <w:t>Detection technologies against the terrorist threat for explosive devices and other illicit activities</w:t>
      </w:r>
    </w:p>
    <w:p w:rsidR="009543F7" w:rsidRPr="000A5DB2" w:rsidRDefault="009543F7" w:rsidP="008512C6">
      <w:pPr>
        <w:numPr>
          <w:ilvl w:val="2"/>
          <w:numId w:val="8"/>
        </w:numPr>
        <w:jc w:val="both"/>
        <w:rPr>
          <w:rFonts w:ascii="Arial" w:hAnsi="Arial" w:cs="Arial"/>
          <w:sz w:val="20"/>
        </w:rPr>
      </w:pPr>
      <w:r w:rsidRPr="000A5DB2">
        <w:rPr>
          <w:rFonts w:ascii="Arial" w:hAnsi="Arial" w:cs="Arial"/>
          <w:sz w:val="20"/>
        </w:rPr>
        <w:t>Risk management, best practices and technologies in response to terrorism.</w:t>
      </w:r>
    </w:p>
    <w:p w:rsidR="009543F7" w:rsidRPr="000A5DB2" w:rsidRDefault="009543F7" w:rsidP="008512C6">
      <w:pPr>
        <w:numPr>
          <w:ilvl w:val="1"/>
          <w:numId w:val="8"/>
        </w:numPr>
        <w:jc w:val="both"/>
        <w:rPr>
          <w:rFonts w:ascii="Arial" w:hAnsi="Arial" w:cs="Arial"/>
          <w:i/>
          <w:sz w:val="20"/>
        </w:rPr>
      </w:pPr>
      <w:r w:rsidRPr="000A5DB2">
        <w:rPr>
          <w:rFonts w:ascii="Arial" w:hAnsi="Arial" w:cs="Arial"/>
          <w:i/>
          <w:sz w:val="20"/>
        </w:rPr>
        <w:t xml:space="preserve">Energy Security </w:t>
      </w:r>
    </w:p>
    <w:p w:rsidR="009543F7" w:rsidRPr="000A5DB2" w:rsidRDefault="009543F7" w:rsidP="008512C6">
      <w:pPr>
        <w:numPr>
          <w:ilvl w:val="2"/>
          <w:numId w:val="8"/>
        </w:numPr>
        <w:jc w:val="both"/>
        <w:rPr>
          <w:rFonts w:ascii="Arial" w:hAnsi="Arial" w:cs="Arial"/>
          <w:sz w:val="20"/>
        </w:rPr>
      </w:pPr>
      <w:r w:rsidRPr="000A5DB2">
        <w:rPr>
          <w:rFonts w:ascii="Arial" w:hAnsi="Arial" w:cs="Arial"/>
          <w:sz w:val="20"/>
        </w:rPr>
        <w:t xml:space="preserve">Innovative energy solutions for the military; battlefield energy solutions; renewable energy solutions with military applications; </w:t>
      </w:r>
    </w:p>
    <w:p w:rsidR="009543F7" w:rsidRPr="000A5DB2" w:rsidRDefault="009543F7" w:rsidP="008512C6">
      <w:pPr>
        <w:numPr>
          <w:ilvl w:val="2"/>
          <w:numId w:val="8"/>
        </w:numPr>
        <w:jc w:val="both"/>
        <w:rPr>
          <w:rFonts w:ascii="Arial" w:hAnsi="Arial" w:cs="Arial"/>
          <w:sz w:val="20"/>
        </w:rPr>
      </w:pPr>
      <w:r w:rsidRPr="000A5DB2">
        <w:rPr>
          <w:rFonts w:ascii="Arial" w:hAnsi="Arial" w:cs="Arial"/>
          <w:sz w:val="20"/>
        </w:rPr>
        <w:t xml:space="preserve">Energy infrastructure security; </w:t>
      </w:r>
    </w:p>
    <w:p w:rsidR="009543F7" w:rsidRPr="000A5DB2" w:rsidRDefault="009543F7" w:rsidP="008512C6">
      <w:pPr>
        <w:numPr>
          <w:ilvl w:val="2"/>
          <w:numId w:val="8"/>
        </w:numPr>
        <w:jc w:val="both"/>
        <w:rPr>
          <w:rFonts w:ascii="Arial" w:hAnsi="Arial" w:cs="Arial"/>
          <w:sz w:val="20"/>
        </w:rPr>
      </w:pPr>
      <w:r w:rsidRPr="000A5DB2">
        <w:rPr>
          <w:rFonts w:ascii="Arial" w:hAnsi="Arial" w:cs="Arial"/>
          <w:sz w:val="20"/>
        </w:rPr>
        <w:t xml:space="preserve">Maritime aspects of energy security; </w:t>
      </w:r>
    </w:p>
    <w:p w:rsidR="009543F7" w:rsidRPr="000A5DB2" w:rsidRDefault="009543F7" w:rsidP="008512C6">
      <w:pPr>
        <w:numPr>
          <w:ilvl w:val="2"/>
          <w:numId w:val="8"/>
        </w:numPr>
        <w:jc w:val="both"/>
        <w:rPr>
          <w:rFonts w:ascii="Arial" w:hAnsi="Arial" w:cs="Arial"/>
          <w:sz w:val="20"/>
        </w:rPr>
      </w:pPr>
      <w:r w:rsidRPr="000A5DB2">
        <w:rPr>
          <w:rFonts w:ascii="Arial" w:hAnsi="Arial" w:cs="Arial"/>
          <w:sz w:val="20"/>
        </w:rPr>
        <w:t>Technological aspects of energy security.</w:t>
      </w:r>
    </w:p>
    <w:p w:rsidR="009543F7" w:rsidRPr="000A5DB2" w:rsidRDefault="009543F7" w:rsidP="008512C6">
      <w:pPr>
        <w:numPr>
          <w:ilvl w:val="1"/>
          <w:numId w:val="8"/>
        </w:numPr>
        <w:jc w:val="both"/>
        <w:rPr>
          <w:rFonts w:ascii="Arial" w:hAnsi="Arial" w:cs="Arial"/>
          <w:i/>
          <w:sz w:val="20"/>
        </w:rPr>
      </w:pPr>
      <w:r w:rsidRPr="000A5DB2">
        <w:rPr>
          <w:rFonts w:ascii="Arial" w:hAnsi="Arial" w:cs="Arial"/>
          <w:i/>
          <w:sz w:val="20"/>
        </w:rPr>
        <w:t xml:space="preserve">Cyber Defence </w:t>
      </w:r>
    </w:p>
    <w:p w:rsidR="009543F7" w:rsidRPr="000A5DB2" w:rsidRDefault="009543F7" w:rsidP="008512C6">
      <w:pPr>
        <w:numPr>
          <w:ilvl w:val="2"/>
          <w:numId w:val="8"/>
        </w:numPr>
        <w:jc w:val="both"/>
        <w:rPr>
          <w:rFonts w:ascii="Arial" w:hAnsi="Arial" w:cs="Arial"/>
          <w:sz w:val="20"/>
        </w:rPr>
      </w:pPr>
      <w:r w:rsidRPr="000A5DB2">
        <w:rPr>
          <w:rFonts w:ascii="Arial" w:hAnsi="Arial" w:cs="Arial"/>
          <w:sz w:val="20"/>
        </w:rPr>
        <w:t xml:space="preserve">Critical infrastructure protection, including sharing of best practices, capacity building and policies; </w:t>
      </w:r>
    </w:p>
    <w:p w:rsidR="009543F7" w:rsidRPr="000A5DB2" w:rsidRDefault="009543F7" w:rsidP="008512C6">
      <w:pPr>
        <w:numPr>
          <w:ilvl w:val="2"/>
          <w:numId w:val="8"/>
        </w:numPr>
        <w:jc w:val="both"/>
        <w:rPr>
          <w:rFonts w:ascii="Arial" w:hAnsi="Arial" w:cs="Arial"/>
          <w:sz w:val="20"/>
        </w:rPr>
      </w:pPr>
      <w:r w:rsidRPr="000A5DB2">
        <w:rPr>
          <w:rFonts w:ascii="Arial" w:hAnsi="Arial" w:cs="Arial"/>
          <w:sz w:val="20"/>
        </w:rPr>
        <w:t xml:space="preserve">Support in developing cyber defence capabilities, including new technologies and support to the construction of information technology infrastructure; </w:t>
      </w:r>
    </w:p>
    <w:p w:rsidR="009543F7" w:rsidRPr="000A5DB2" w:rsidRDefault="009543F7" w:rsidP="008512C6">
      <w:pPr>
        <w:numPr>
          <w:ilvl w:val="2"/>
          <w:numId w:val="8"/>
        </w:numPr>
        <w:jc w:val="both"/>
        <w:rPr>
          <w:rFonts w:ascii="Arial" w:hAnsi="Arial" w:cs="Arial"/>
          <w:sz w:val="20"/>
        </w:rPr>
      </w:pPr>
      <w:r w:rsidRPr="000A5DB2">
        <w:rPr>
          <w:rFonts w:ascii="Arial" w:hAnsi="Arial" w:cs="Arial"/>
          <w:sz w:val="20"/>
        </w:rPr>
        <w:t>Cyber defence situation awareness.</w:t>
      </w:r>
    </w:p>
    <w:p w:rsidR="009543F7" w:rsidRPr="000A5DB2" w:rsidRDefault="009543F7" w:rsidP="008512C6">
      <w:pPr>
        <w:numPr>
          <w:ilvl w:val="1"/>
          <w:numId w:val="8"/>
        </w:numPr>
        <w:jc w:val="both"/>
        <w:rPr>
          <w:rFonts w:ascii="Arial" w:hAnsi="Arial" w:cs="Arial"/>
          <w:i/>
          <w:sz w:val="20"/>
        </w:rPr>
      </w:pPr>
      <w:r w:rsidRPr="000A5DB2">
        <w:rPr>
          <w:rFonts w:ascii="Arial" w:hAnsi="Arial" w:cs="Arial"/>
          <w:i/>
          <w:sz w:val="20"/>
        </w:rPr>
        <w:t xml:space="preserve">Defence against CBRN Agents </w:t>
      </w:r>
    </w:p>
    <w:p w:rsidR="009543F7" w:rsidRPr="000A5DB2" w:rsidRDefault="009543F7" w:rsidP="008512C6">
      <w:pPr>
        <w:numPr>
          <w:ilvl w:val="2"/>
          <w:numId w:val="8"/>
        </w:numPr>
        <w:jc w:val="both"/>
        <w:rPr>
          <w:rFonts w:ascii="Arial" w:hAnsi="Arial" w:cs="Arial"/>
          <w:sz w:val="20"/>
        </w:rPr>
      </w:pPr>
      <w:r w:rsidRPr="000A5DB2">
        <w:rPr>
          <w:rFonts w:ascii="Arial" w:hAnsi="Arial" w:cs="Arial"/>
          <w:sz w:val="20"/>
        </w:rPr>
        <w:t xml:space="preserve">Methods and technology regarding the protection against, diagnosing effects, detection, decontamination, destruction, disposal and containment of CBRN agents; </w:t>
      </w:r>
    </w:p>
    <w:p w:rsidR="009543F7" w:rsidRPr="000A5DB2" w:rsidRDefault="009543F7" w:rsidP="008512C6">
      <w:pPr>
        <w:numPr>
          <w:ilvl w:val="2"/>
          <w:numId w:val="8"/>
        </w:numPr>
        <w:jc w:val="both"/>
        <w:rPr>
          <w:rFonts w:ascii="Arial" w:hAnsi="Arial" w:cs="Arial"/>
          <w:sz w:val="20"/>
        </w:rPr>
      </w:pPr>
      <w:r w:rsidRPr="000A5DB2">
        <w:rPr>
          <w:rFonts w:ascii="Arial" w:hAnsi="Arial" w:cs="Arial"/>
          <w:sz w:val="20"/>
        </w:rPr>
        <w:t xml:space="preserve">Risk management and recovery strategies and technologies; </w:t>
      </w:r>
    </w:p>
    <w:p w:rsidR="009543F7" w:rsidRPr="000A5DB2" w:rsidRDefault="009543F7" w:rsidP="008512C6">
      <w:pPr>
        <w:numPr>
          <w:ilvl w:val="2"/>
          <w:numId w:val="8"/>
        </w:numPr>
        <w:jc w:val="both"/>
        <w:rPr>
          <w:rFonts w:ascii="Arial" w:hAnsi="Arial" w:cs="Arial"/>
          <w:sz w:val="20"/>
        </w:rPr>
      </w:pPr>
      <w:r w:rsidRPr="000A5DB2">
        <w:rPr>
          <w:rFonts w:ascii="Arial" w:hAnsi="Arial" w:cs="Arial"/>
          <w:sz w:val="20"/>
        </w:rPr>
        <w:t xml:space="preserve">Medical countermeasures against CBRN agents. </w:t>
      </w:r>
    </w:p>
    <w:p w:rsidR="009543F7" w:rsidRPr="000A5DB2" w:rsidRDefault="009543F7" w:rsidP="008512C6">
      <w:pPr>
        <w:numPr>
          <w:ilvl w:val="1"/>
          <w:numId w:val="8"/>
        </w:numPr>
        <w:jc w:val="both"/>
        <w:rPr>
          <w:rFonts w:ascii="Arial" w:hAnsi="Arial" w:cs="Arial"/>
          <w:i/>
          <w:sz w:val="20"/>
        </w:rPr>
      </w:pPr>
      <w:r w:rsidRPr="000A5DB2">
        <w:rPr>
          <w:rFonts w:ascii="Arial" w:hAnsi="Arial" w:cs="Arial"/>
          <w:i/>
          <w:sz w:val="20"/>
        </w:rPr>
        <w:t xml:space="preserve">Environmental Security </w:t>
      </w:r>
    </w:p>
    <w:p w:rsidR="009543F7" w:rsidRPr="000A5DB2" w:rsidRDefault="009543F7" w:rsidP="008512C6">
      <w:pPr>
        <w:numPr>
          <w:ilvl w:val="2"/>
          <w:numId w:val="8"/>
        </w:numPr>
        <w:jc w:val="both"/>
        <w:rPr>
          <w:rFonts w:ascii="Arial" w:hAnsi="Arial" w:cs="Arial"/>
          <w:sz w:val="20"/>
        </w:rPr>
      </w:pPr>
      <w:r w:rsidRPr="000A5DB2">
        <w:rPr>
          <w:rFonts w:ascii="Arial" w:hAnsi="Arial" w:cs="Arial"/>
          <w:sz w:val="20"/>
        </w:rPr>
        <w:t xml:space="preserve">Security issues arising from key environmental and resource constraints, including health risks, climate change, water scarcity and increasing energy needs, which have the potential to significantly affect NATO’s planning and operations; </w:t>
      </w:r>
    </w:p>
    <w:p w:rsidR="009543F7" w:rsidRPr="000A5DB2" w:rsidRDefault="009543F7" w:rsidP="008512C6">
      <w:pPr>
        <w:numPr>
          <w:ilvl w:val="2"/>
          <w:numId w:val="8"/>
        </w:numPr>
        <w:jc w:val="both"/>
        <w:rPr>
          <w:rFonts w:ascii="Arial" w:hAnsi="Arial" w:cs="Arial"/>
          <w:sz w:val="20"/>
        </w:rPr>
      </w:pPr>
      <w:r w:rsidRPr="000A5DB2">
        <w:rPr>
          <w:rFonts w:ascii="Arial" w:hAnsi="Arial" w:cs="Arial"/>
          <w:sz w:val="20"/>
        </w:rPr>
        <w:t xml:space="preserve">Disaster forecast and prevention of natural catastrophes; </w:t>
      </w:r>
    </w:p>
    <w:p w:rsidR="009543F7" w:rsidRPr="000A5DB2" w:rsidRDefault="009543F7" w:rsidP="008512C6">
      <w:pPr>
        <w:numPr>
          <w:ilvl w:val="2"/>
          <w:numId w:val="8"/>
        </w:numPr>
        <w:jc w:val="both"/>
        <w:rPr>
          <w:rFonts w:ascii="Arial" w:hAnsi="Arial" w:cs="Arial"/>
          <w:sz w:val="20"/>
        </w:rPr>
      </w:pPr>
      <w:r w:rsidRPr="000A5DB2">
        <w:rPr>
          <w:rFonts w:ascii="Arial" w:hAnsi="Arial" w:cs="Arial"/>
          <w:sz w:val="20"/>
        </w:rPr>
        <w:t xml:space="preserve">Defence-related environmental issues. </w:t>
      </w:r>
    </w:p>
    <w:p w:rsidR="009543F7" w:rsidRPr="000A5DB2" w:rsidRDefault="009543F7" w:rsidP="00A81605">
      <w:pPr>
        <w:pStyle w:val="Heading2"/>
        <w:numPr>
          <w:ilvl w:val="0"/>
          <w:numId w:val="8"/>
        </w:numPr>
      </w:pPr>
      <w:bookmarkStart w:id="31" w:name="_Toc341274808"/>
      <w:r w:rsidRPr="000A5DB2">
        <w:t>Enhance support for NATO-led operations and missions</w:t>
      </w:r>
      <w:bookmarkEnd w:id="31"/>
      <w:r w:rsidRPr="000A5DB2">
        <w:t xml:space="preserve"> </w:t>
      </w:r>
    </w:p>
    <w:p w:rsidR="009543F7" w:rsidRPr="000A5DB2" w:rsidRDefault="009543F7" w:rsidP="008512C6">
      <w:pPr>
        <w:numPr>
          <w:ilvl w:val="1"/>
          <w:numId w:val="8"/>
        </w:numPr>
        <w:jc w:val="both"/>
        <w:rPr>
          <w:rFonts w:ascii="Arial" w:hAnsi="Arial" w:cs="Arial"/>
          <w:sz w:val="20"/>
        </w:rPr>
      </w:pPr>
      <w:r w:rsidRPr="000A5DB2">
        <w:rPr>
          <w:rFonts w:ascii="Arial" w:hAnsi="Arial" w:cs="Arial"/>
          <w:sz w:val="20"/>
        </w:rPr>
        <w:t xml:space="preserve">Provision of civilian support through SPS Key Priorities; </w:t>
      </w:r>
    </w:p>
    <w:p w:rsidR="009543F7" w:rsidRPr="000A5DB2" w:rsidRDefault="009543F7" w:rsidP="008512C6">
      <w:pPr>
        <w:numPr>
          <w:ilvl w:val="1"/>
          <w:numId w:val="8"/>
        </w:numPr>
        <w:jc w:val="both"/>
        <w:rPr>
          <w:rFonts w:ascii="Arial" w:hAnsi="Arial" w:cs="Arial"/>
          <w:sz w:val="20"/>
        </w:rPr>
      </w:pPr>
      <w:r w:rsidRPr="000A5DB2">
        <w:rPr>
          <w:rFonts w:ascii="Arial" w:hAnsi="Arial" w:cs="Arial"/>
          <w:sz w:val="20"/>
        </w:rPr>
        <w:t xml:space="preserve">Provision of access to information through internet connectivity as in the SILK-Afghanistan Programme; </w:t>
      </w:r>
    </w:p>
    <w:p w:rsidR="009543F7" w:rsidRPr="000A5DB2" w:rsidRDefault="009543F7" w:rsidP="008512C6">
      <w:pPr>
        <w:numPr>
          <w:ilvl w:val="1"/>
          <w:numId w:val="8"/>
        </w:numPr>
        <w:jc w:val="both"/>
        <w:rPr>
          <w:rFonts w:ascii="Arial" w:hAnsi="Arial" w:cs="Arial"/>
          <w:sz w:val="20"/>
        </w:rPr>
      </w:pPr>
      <w:r w:rsidRPr="000A5DB2">
        <w:rPr>
          <w:rFonts w:ascii="Arial" w:hAnsi="Arial" w:cs="Arial"/>
          <w:sz w:val="20"/>
        </w:rPr>
        <w:t xml:space="preserve">Cultural and social aspects in military operations and missions; </w:t>
      </w:r>
    </w:p>
    <w:p w:rsidR="009543F7" w:rsidRPr="000A5DB2" w:rsidRDefault="009543F7" w:rsidP="008512C6">
      <w:pPr>
        <w:numPr>
          <w:ilvl w:val="1"/>
          <w:numId w:val="8"/>
        </w:numPr>
        <w:jc w:val="both"/>
        <w:rPr>
          <w:rFonts w:ascii="Arial" w:hAnsi="Arial" w:cs="Arial"/>
          <w:sz w:val="20"/>
        </w:rPr>
      </w:pPr>
      <w:r w:rsidRPr="000A5DB2">
        <w:rPr>
          <w:rFonts w:ascii="Arial" w:hAnsi="Arial" w:cs="Arial"/>
          <w:sz w:val="20"/>
        </w:rPr>
        <w:t>Enhancing cooperation with other international actors.</w:t>
      </w:r>
    </w:p>
    <w:p w:rsidR="009543F7" w:rsidRPr="000A5DB2" w:rsidRDefault="009543F7" w:rsidP="00A81605">
      <w:pPr>
        <w:pStyle w:val="Heading2"/>
        <w:numPr>
          <w:ilvl w:val="0"/>
          <w:numId w:val="8"/>
        </w:numPr>
      </w:pPr>
      <w:bookmarkStart w:id="32" w:name="_Toc341274809"/>
      <w:r w:rsidRPr="000A5DB2">
        <w:t>Enhance awareness on security developments including through early warning, with a view to preventing crises</w:t>
      </w:r>
      <w:bookmarkEnd w:id="32"/>
      <w:r w:rsidRPr="000A5DB2">
        <w:t xml:space="preserve"> </w:t>
      </w:r>
    </w:p>
    <w:p w:rsidR="009543F7" w:rsidRPr="000A5DB2" w:rsidRDefault="009543F7" w:rsidP="008512C6">
      <w:pPr>
        <w:numPr>
          <w:ilvl w:val="1"/>
          <w:numId w:val="8"/>
        </w:numPr>
        <w:jc w:val="both"/>
        <w:rPr>
          <w:rFonts w:ascii="Arial" w:hAnsi="Arial" w:cs="Arial"/>
          <w:i/>
          <w:sz w:val="20"/>
        </w:rPr>
      </w:pPr>
      <w:r w:rsidRPr="000A5DB2">
        <w:rPr>
          <w:rFonts w:ascii="Arial" w:hAnsi="Arial" w:cs="Arial"/>
          <w:i/>
          <w:sz w:val="20"/>
        </w:rPr>
        <w:t>Security-related Advanced Technology:</w:t>
      </w:r>
    </w:p>
    <w:p w:rsidR="009543F7" w:rsidRPr="000A5DB2" w:rsidRDefault="009543F7" w:rsidP="00234914">
      <w:pPr>
        <w:ind w:left="720"/>
        <w:jc w:val="both"/>
        <w:rPr>
          <w:rFonts w:ascii="Arial" w:hAnsi="Arial" w:cs="Arial"/>
          <w:sz w:val="20"/>
        </w:rPr>
      </w:pPr>
      <w:r w:rsidRPr="000A5DB2">
        <w:rPr>
          <w:rFonts w:ascii="Arial" w:hAnsi="Arial" w:cs="Arial"/>
          <w:sz w:val="20"/>
        </w:rPr>
        <w:t>Emerging technologies including nanotechnology, optical technology, micro satellites, metallurgy and the development of UAV platforms.</w:t>
      </w:r>
    </w:p>
    <w:p w:rsidR="009543F7" w:rsidRPr="000A5DB2" w:rsidRDefault="009543F7" w:rsidP="008512C6">
      <w:pPr>
        <w:numPr>
          <w:ilvl w:val="1"/>
          <w:numId w:val="8"/>
        </w:numPr>
        <w:jc w:val="both"/>
        <w:rPr>
          <w:rFonts w:ascii="Arial" w:hAnsi="Arial" w:cs="Arial"/>
          <w:i/>
          <w:sz w:val="20"/>
        </w:rPr>
      </w:pPr>
      <w:r w:rsidRPr="000A5DB2">
        <w:rPr>
          <w:rFonts w:ascii="Arial" w:hAnsi="Arial" w:cs="Arial"/>
          <w:i/>
          <w:sz w:val="20"/>
        </w:rPr>
        <w:t xml:space="preserve">Border and Port Security </w:t>
      </w:r>
    </w:p>
    <w:p w:rsidR="009543F7" w:rsidRPr="000A5DB2" w:rsidRDefault="009543F7" w:rsidP="008512C6">
      <w:pPr>
        <w:numPr>
          <w:ilvl w:val="2"/>
          <w:numId w:val="8"/>
        </w:numPr>
        <w:jc w:val="both"/>
        <w:rPr>
          <w:rFonts w:ascii="Arial" w:hAnsi="Arial" w:cs="Arial"/>
          <w:sz w:val="20"/>
        </w:rPr>
      </w:pPr>
      <w:r w:rsidRPr="000A5DB2">
        <w:rPr>
          <w:rFonts w:ascii="Arial" w:hAnsi="Arial" w:cs="Arial"/>
          <w:sz w:val="20"/>
        </w:rPr>
        <w:t xml:space="preserve">Border and port security technology; </w:t>
      </w:r>
    </w:p>
    <w:p w:rsidR="009543F7" w:rsidRPr="000A5DB2" w:rsidRDefault="009543F7" w:rsidP="008512C6">
      <w:pPr>
        <w:numPr>
          <w:ilvl w:val="2"/>
          <w:numId w:val="8"/>
        </w:numPr>
        <w:jc w:val="both"/>
        <w:rPr>
          <w:rFonts w:ascii="Arial" w:hAnsi="Arial" w:cs="Arial"/>
          <w:sz w:val="20"/>
        </w:rPr>
      </w:pPr>
      <w:r w:rsidRPr="000A5DB2">
        <w:rPr>
          <w:rFonts w:ascii="Arial" w:hAnsi="Arial" w:cs="Arial"/>
          <w:sz w:val="20"/>
        </w:rPr>
        <w:t xml:space="preserve">Cross border communication systems and data fusion; </w:t>
      </w:r>
    </w:p>
    <w:p w:rsidR="009543F7" w:rsidRPr="000A5DB2" w:rsidRDefault="009543F7" w:rsidP="008512C6">
      <w:pPr>
        <w:numPr>
          <w:ilvl w:val="2"/>
          <w:numId w:val="8"/>
        </w:numPr>
        <w:jc w:val="both"/>
        <w:rPr>
          <w:rFonts w:ascii="Arial" w:hAnsi="Arial" w:cs="Arial"/>
          <w:sz w:val="20"/>
        </w:rPr>
      </w:pPr>
      <w:r w:rsidRPr="000A5DB2">
        <w:rPr>
          <w:rFonts w:ascii="Arial" w:hAnsi="Arial" w:cs="Arial"/>
          <w:sz w:val="20"/>
        </w:rPr>
        <w:t xml:space="preserve">Expert advice and assessments of border security needs and best practice. </w:t>
      </w:r>
    </w:p>
    <w:p w:rsidR="009543F7" w:rsidRPr="000A5DB2" w:rsidRDefault="009543F7" w:rsidP="008512C6">
      <w:pPr>
        <w:numPr>
          <w:ilvl w:val="1"/>
          <w:numId w:val="8"/>
        </w:numPr>
        <w:jc w:val="both"/>
        <w:rPr>
          <w:rFonts w:ascii="Arial" w:hAnsi="Arial" w:cs="Arial"/>
          <w:i/>
          <w:sz w:val="20"/>
        </w:rPr>
      </w:pPr>
      <w:r w:rsidRPr="000A5DB2">
        <w:rPr>
          <w:rFonts w:ascii="Arial" w:hAnsi="Arial" w:cs="Arial"/>
          <w:i/>
          <w:sz w:val="20"/>
        </w:rPr>
        <w:t xml:space="preserve">Mine and Unexploded Ordnance Detection and Clearance </w:t>
      </w:r>
    </w:p>
    <w:p w:rsidR="009543F7" w:rsidRPr="000A5DB2" w:rsidRDefault="009543F7" w:rsidP="008512C6">
      <w:pPr>
        <w:numPr>
          <w:ilvl w:val="2"/>
          <w:numId w:val="8"/>
        </w:numPr>
        <w:jc w:val="both"/>
        <w:rPr>
          <w:rFonts w:ascii="Arial" w:hAnsi="Arial" w:cs="Arial"/>
          <w:sz w:val="20"/>
        </w:rPr>
      </w:pPr>
      <w:r w:rsidRPr="000A5DB2">
        <w:rPr>
          <w:rFonts w:ascii="Arial" w:hAnsi="Arial" w:cs="Arial"/>
          <w:sz w:val="20"/>
        </w:rPr>
        <w:t xml:space="preserve">Development and provision of advanced technologies, methodologies and best practice; </w:t>
      </w:r>
    </w:p>
    <w:p w:rsidR="009543F7" w:rsidRPr="000A5DB2" w:rsidRDefault="009543F7" w:rsidP="008512C6">
      <w:pPr>
        <w:numPr>
          <w:ilvl w:val="2"/>
          <w:numId w:val="8"/>
        </w:numPr>
        <w:jc w:val="both"/>
        <w:rPr>
          <w:rFonts w:ascii="Arial" w:hAnsi="Arial" w:cs="Arial"/>
          <w:sz w:val="20"/>
        </w:rPr>
      </w:pPr>
      <w:r w:rsidRPr="000A5DB2">
        <w:rPr>
          <w:rFonts w:ascii="Arial" w:hAnsi="Arial" w:cs="Arial"/>
          <w:sz w:val="20"/>
        </w:rPr>
        <w:t>Solutions to counter improvised explosive devices (IED).</w:t>
      </w:r>
    </w:p>
    <w:p w:rsidR="00C36AB4" w:rsidRDefault="00713AC5">
      <w:pPr>
        <w:pStyle w:val="Heading2"/>
        <w:numPr>
          <w:ilvl w:val="1"/>
          <w:numId w:val="8"/>
        </w:numPr>
        <w:rPr>
          <w:b w:val="0"/>
        </w:rPr>
      </w:pPr>
      <w:bookmarkStart w:id="33" w:name="_Toc341274810"/>
      <w:r w:rsidRPr="00713AC5">
        <w:rPr>
          <w:b w:val="0"/>
        </w:rPr>
        <w:t>Human and Social Aspects of Security related to NATO’s strategic objectives</w:t>
      </w:r>
      <w:bookmarkEnd w:id="33"/>
      <w:r w:rsidRPr="00713AC5">
        <w:rPr>
          <w:b w:val="0"/>
        </w:rPr>
        <w:t xml:space="preserve"> </w:t>
      </w:r>
    </w:p>
    <w:p w:rsidR="009543F7" w:rsidRPr="000A5DB2" w:rsidRDefault="009543F7" w:rsidP="00A81605">
      <w:pPr>
        <w:pStyle w:val="Heading2"/>
        <w:numPr>
          <w:ilvl w:val="0"/>
          <w:numId w:val="8"/>
        </w:numPr>
      </w:pPr>
      <w:bookmarkStart w:id="34" w:name="_Toc341274811"/>
      <w:r w:rsidRPr="000A5DB2">
        <w:t>Any project related clearly linked to a threat to security not otherwise defined in these priorities may also be considered for funding under the SPS Programme. Such proposals will be examined for links to NATO’s Strategic Objectives.</w:t>
      </w:r>
      <w:bookmarkEnd w:id="34"/>
    </w:p>
    <w:p w:rsidR="009543F7" w:rsidRPr="00ED3C77" w:rsidRDefault="009543F7" w:rsidP="00234914">
      <w:pPr>
        <w:spacing w:after="120"/>
        <w:jc w:val="center"/>
        <w:rPr>
          <w:b/>
          <w:bCs/>
          <w:color w:val="3487C8"/>
          <w:sz w:val="22"/>
          <w:szCs w:val="22"/>
        </w:rPr>
        <w:sectPr w:rsidR="009543F7" w:rsidRPr="00ED3C77" w:rsidSect="00092F5C">
          <w:footnotePr>
            <w:numFmt w:val="chicago"/>
            <w:numRestart w:val="eachPage"/>
          </w:footnotePr>
          <w:pgSz w:w="12240" w:h="15840" w:code="1"/>
          <w:pgMar w:top="340" w:right="907" w:bottom="340" w:left="907" w:header="720" w:footer="720" w:gutter="0"/>
          <w:cols w:space="720"/>
          <w:titlePg/>
        </w:sectPr>
      </w:pPr>
    </w:p>
    <w:tbl>
      <w:tblPr>
        <w:tblW w:w="0" w:type="auto"/>
        <w:tblInd w:w="108" w:type="dxa"/>
        <w:tblBorders>
          <w:bottom w:val="single" w:sz="4" w:space="0" w:color="auto"/>
        </w:tblBorders>
        <w:tblLayout w:type="fixed"/>
        <w:tblCellMar>
          <w:bottom w:w="142" w:type="dxa"/>
        </w:tblCellMar>
        <w:tblLook w:val="0000"/>
      </w:tblPr>
      <w:tblGrid>
        <w:gridCol w:w="993"/>
        <w:gridCol w:w="9355"/>
      </w:tblGrid>
      <w:tr w:rsidR="000A5DB2" w:rsidRPr="00ED3C77">
        <w:trPr>
          <w:trHeight w:val="1881"/>
        </w:trPr>
        <w:tc>
          <w:tcPr>
            <w:tcW w:w="993" w:type="dxa"/>
            <w:vAlign w:val="center"/>
          </w:tcPr>
          <w:p w:rsidR="000A5DB2" w:rsidRPr="00ED3C77" w:rsidRDefault="000A15BE" w:rsidP="00E33755">
            <w:pPr>
              <w:jc w:val="center"/>
              <w:rPr>
                <w:b/>
                <w:bCs/>
              </w:rPr>
            </w:pPr>
            <w:bookmarkStart w:id="35" w:name="Annex2Funding"/>
            <w:bookmarkEnd w:id="35"/>
            <w:r>
              <w:rPr>
                <w:b/>
                <w:bCs/>
                <w:noProof/>
                <w:lang w:val="en-US"/>
              </w:rPr>
              <w:drawing>
                <wp:inline distT="0" distB="0" distL="0" distR="0">
                  <wp:extent cx="581025" cy="116205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81025" cy="1162050"/>
                          </a:xfrm>
                          <a:prstGeom prst="rect">
                            <a:avLst/>
                          </a:prstGeom>
                          <a:noFill/>
                          <a:ln w="9525">
                            <a:noFill/>
                            <a:miter lim="800000"/>
                            <a:headEnd/>
                            <a:tailEnd/>
                          </a:ln>
                        </pic:spPr>
                      </pic:pic>
                    </a:graphicData>
                  </a:graphic>
                </wp:inline>
              </w:drawing>
            </w:r>
          </w:p>
        </w:tc>
        <w:tc>
          <w:tcPr>
            <w:tcW w:w="9355" w:type="dxa"/>
            <w:vAlign w:val="center"/>
          </w:tcPr>
          <w:p w:rsidR="000A5DB2" w:rsidRPr="00ED3C77" w:rsidRDefault="000A5DB2" w:rsidP="000A5DB2">
            <w:pPr>
              <w:spacing w:after="120"/>
              <w:jc w:val="center"/>
              <w:rPr>
                <w:b/>
                <w:bCs/>
                <w:color w:val="3487C8"/>
                <w:sz w:val="22"/>
                <w:szCs w:val="22"/>
              </w:rPr>
            </w:pPr>
            <w:r w:rsidRPr="00ED3C77">
              <w:rPr>
                <w:b/>
                <w:bCs/>
                <w:color w:val="3487C8"/>
                <w:sz w:val="22"/>
                <w:szCs w:val="22"/>
              </w:rPr>
              <w:t>Emerging Security Challenges Division</w:t>
            </w:r>
          </w:p>
          <w:p w:rsidR="000A5DB2" w:rsidRPr="00ED3C77" w:rsidRDefault="000A5DB2" w:rsidP="000A5DB2">
            <w:pPr>
              <w:spacing w:after="200"/>
              <w:jc w:val="center"/>
              <w:rPr>
                <w:b/>
                <w:bCs/>
                <w:color w:val="3487C8"/>
                <w:sz w:val="28"/>
                <w:szCs w:val="28"/>
              </w:rPr>
            </w:pPr>
            <w:r w:rsidRPr="00ED3C77">
              <w:rPr>
                <w:b/>
                <w:bCs/>
                <w:color w:val="3487C8"/>
                <w:sz w:val="28"/>
                <w:szCs w:val="28"/>
              </w:rPr>
              <w:t>Science for Peace and Security Programme</w:t>
            </w:r>
          </w:p>
          <w:p w:rsidR="00B508CD" w:rsidRPr="00A81605" w:rsidRDefault="00B508CD" w:rsidP="00B508CD">
            <w:pPr>
              <w:jc w:val="center"/>
              <w:rPr>
                <w:rFonts w:ascii="Arial" w:hAnsi="Arial" w:cs="Arial"/>
                <w:b/>
                <w:sz w:val="28"/>
                <w:szCs w:val="28"/>
              </w:rPr>
            </w:pPr>
            <w:r w:rsidRPr="00F07247">
              <w:rPr>
                <w:rFonts w:ascii="Arial" w:hAnsi="Arial" w:cs="Arial"/>
                <w:b/>
                <w:bCs/>
                <w:color w:val="00408B"/>
                <w:sz w:val="28"/>
                <w:szCs w:val="28"/>
              </w:rPr>
              <w:t>Guidelines for Applicants</w:t>
            </w:r>
            <w:r>
              <w:rPr>
                <w:rFonts w:ascii="Arial" w:hAnsi="Arial" w:cs="Arial"/>
                <w:b/>
                <w:bCs/>
                <w:color w:val="00408B"/>
                <w:sz w:val="28"/>
                <w:szCs w:val="28"/>
              </w:rPr>
              <w:t xml:space="preserve"> – Project Plan</w:t>
            </w:r>
          </w:p>
          <w:p w:rsidR="000A5DB2" w:rsidRPr="00A81605" w:rsidRDefault="000A5DB2" w:rsidP="00A81605">
            <w:pPr>
              <w:pStyle w:val="Heading1"/>
              <w:spacing w:before="0"/>
              <w:jc w:val="center"/>
              <w:rPr>
                <w:sz w:val="28"/>
                <w:szCs w:val="28"/>
              </w:rPr>
            </w:pPr>
            <w:bookmarkStart w:id="36" w:name="_Toc341274812"/>
            <w:r w:rsidRPr="00A81605">
              <w:rPr>
                <w:sz w:val="28"/>
                <w:szCs w:val="28"/>
              </w:rPr>
              <w:t>ANNEX 2: Funding</w:t>
            </w:r>
            <w:bookmarkEnd w:id="36"/>
          </w:p>
          <w:p w:rsidR="000A5DB2" w:rsidRPr="00ED3C77" w:rsidRDefault="000A5DB2" w:rsidP="000A5DB2">
            <w:pPr>
              <w:jc w:val="center"/>
              <w:rPr>
                <w:b/>
                <w:bCs/>
              </w:rPr>
            </w:pPr>
            <w:r w:rsidRPr="00ED3C77">
              <w:rPr>
                <w:szCs w:val="18"/>
              </w:rPr>
              <w:t xml:space="preserve">NATO Emerging Security Challenges Division, SPS Programme, Bd. Léopold </w:t>
            </w:r>
            <w:smartTag w:uri="urn:schemas-microsoft-com:office:smarttags" w:element="stockticker">
              <w:r w:rsidRPr="00ED3C77">
                <w:rPr>
                  <w:szCs w:val="18"/>
                </w:rPr>
                <w:t>III</w:t>
              </w:r>
            </w:smartTag>
            <w:r w:rsidRPr="00ED3C77">
              <w:rPr>
                <w:szCs w:val="18"/>
              </w:rPr>
              <w:t xml:space="preserve">, </w:t>
            </w:r>
            <w:r w:rsidRPr="00ED3C77" w:rsidDel="00C17795">
              <w:rPr>
                <w:szCs w:val="18"/>
              </w:rPr>
              <w:t>B-</w:t>
            </w:r>
            <w:r w:rsidRPr="00ED3C77">
              <w:rPr>
                <w:szCs w:val="18"/>
              </w:rPr>
              <w:t>1110 Brussels, Belgium</w:t>
            </w:r>
          </w:p>
        </w:tc>
      </w:tr>
    </w:tbl>
    <w:p w:rsidR="009543F7" w:rsidRPr="00ED3C77" w:rsidRDefault="009543F7" w:rsidP="00D51E97">
      <w:pPr>
        <w:pStyle w:val="Body"/>
        <w:spacing w:before="240"/>
      </w:pPr>
      <w:r w:rsidRPr="00ED3C77">
        <w:t>SPS supports projects for up to three years. Roughly half of the budget is generally allocated to equipment, ~20% to training and travel, and up to 15% to stipends. These proportions are meant as guidelines only, not fixed limits, and will vary according to the needs of each project.</w:t>
      </w:r>
    </w:p>
    <w:p w:rsidR="009543F7" w:rsidRPr="00ED3C77" w:rsidRDefault="009543F7" w:rsidP="00090D7A">
      <w:pPr>
        <w:pStyle w:val="Body"/>
        <w:spacing w:after="0"/>
      </w:pPr>
      <w:r w:rsidRPr="00ED3C77">
        <w:t xml:space="preserve">Within the SPS project, NATO funds </w:t>
      </w:r>
      <w:r w:rsidRPr="00ED3C77">
        <w:rPr>
          <w:b/>
        </w:rPr>
        <w:t>may</w:t>
      </w:r>
      <w:r w:rsidRPr="00ED3C77">
        <w:t xml:space="preserve"> be used for:</w:t>
      </w:r>
    </w:p>
    <w:p w:rsidR="009543F7" w:rsidRPr="00ED3C77" w:rsidRDefault="009543F7" w:rsidP="008512C6">
      <w:pPr>
        <w:pStyle w:val="BulletList"/>
        <w:numPr>
          <w:ilvl w:val="0"/>
          <w:numId w:val="4"/>
        </w:numPr>
      </w:pPr>
      <w:r w:rsidRPr="00ED3C77">
        <w:t xml:space="preserve">the purchase of </w:t>
      </w:r>
      <w:r w:rsidRPr="00ED3C77">
        <w:rPr>
          <w:i/>
        </w:rPr>
        <w:t>project-specific</w:t>
      </w:r>
      <w:r w:rsidRPr="00ED3C77">
        <w:t xml:space="preserve"> equipment, computers, consumables, and spare parts, including transport costs but not taxes and duties (see below)</w:t>
      </w:r>
    </w:p>
    <w:p w:rsidR="009543F7" w:rsidRPr="00ED3C77" w:rsidRDefault="009543F7" w:rsidP="008512C6">
      <w:pPr>
        <w:pStyle w:val="BulletList"/>
        <w:numPr>
          <w:ilvl w:val="0"/>
          <w:numId w:val="5"/>
        </w:numPr>
      </w:pPr>
      <w:r w:rsidRPr="00ED3C77">
        <w:t>training for project participants, including necessary travel. Training may include, but is not limited to, instruction on new equipment or techniques with the manufacturer or in the laboratory of another project participant, or a seminar/institute organized within the framework of the project to train multiple proj</w:t>
      </w:r>
      <w:r w:rsidR="0040544E">
        <w:t>ect participants simultaneously</w:t>
      </w:r>
    </w:p>
    <w:p w:rsidR="009543F7" w:rsidRPr="00ED3C77" w:rsidRDefault="009543F7" w:rsidP="008512C6">
      <w:pPr>
        <w:pStyle w:val="BulletList"/>
        <w:numPr>
          <w:ilvl w:val="0"/>
          <w:numId w:val="6"/>
        </w:numPr>
      </w:pPr>
      <w:r w:rsidRPr="00ED3C77">
        <w:t>the purchase of journals and books required for the project</w:t>
      </w:r>
    </w:p>
    <w:p w:rsidR="009543F7" w:rsidRPr="00ED3C77" w:rsidRDefault="009543F7" w:rsidP="00234914">
      <w:pPr>
        <w:pStyle w:val="BulletList"/>
        <w:spacing w:after="60"/>
        <w:ind w:left="714" w:hanging="357"/>
      </w:pPr>
      <w:r w:rsidRPr="00ED3C77">
        <w:t>communication of project results, including publication in scientific journals and protection of project-generated intellectual property</w:t>
      </w:r>
    </w:p>
    <w:p w:rsidR="000672E7" w:rsidRPr="00ED3C77" w:rsidRDefault="000672E7" w:rsidP="000672E7">
      <w:pPr>
        <w:pStyle w:val="BulletList"/>
        <w:spacing w:after="60"/>
        <w:ind w:left="714" w:hanging="357"/>
      </w:pPr>
      <w:r w:rsidRPr="00ED3C77">
        <w:t xml:space="preserve">experts or advisors from a NATO country hired for a short duration to solve a </w:t>
      </w:r>
      <w:r w:rsidRPr="00BE28C8">
        <w:rPr>
          <w:b/>
        </w:rPr>
        <w:t>specific project-related problem</w:t>
      </w:r>
      <w:r>
        <w:t>; advisors’ fees may not exceed €300 per day and ten days per year.</w:t>
      </w:r>
    </w:p>
    <w:p w:rsidR="009543F7" w:rsidRPr="00ED3C77" w:rsidRDefault="009543F7" w:rsidP="00234914">
      <w:pPr>
        <w:pStyle w:val="BulletList"/>
        <w:spacing w:after="60"/>
        <w:ind w:left="714" w:hanging="357"/>
      </w:pPr>
      <w:r w:rsidRPr="00ED3C77">
        <w:t>participants’ international and domestic, but not local, travel for project meetings and consultation</w:t>
      </w:r>
    </w:p>
    <w:p w:rsidR="009543F7" w:rsidRPr="00ED3C77" w:rsidRDefault="009543F7" w:rsidP="008512C6">
      <w:pPr>
        <w:pStyle w:val="BulletList"/>
        <w:numPr>
          <w:ilvl w:val="0"/>
          <w:numId w:val="7"/>
        </w:numPr>
      </w:pPr>
      <w:r w:rsidRPr="00ED3C77">
        <w:t>attendance at conferences, seminars, and workshops related to the project</w:t>
      </w:r>
    </w:p>
    <w:p w:rsidR="009543F7" w:rsidRPr="00ED3C77" w:rsidRDefault="009543F7" w:rsidP="00234914">
      <w:pPr>
        <w:pStyle w:val="BulletList"/>
        <w:spacing w:after="60"/>
        <w:ind w:left="714" w:hanging="357"/>
      </w:pPr>
      <w:r w:rsidRPr="00ED3C77">
        <w:t>direct project-related administrative expenses</w:t>
      </w:r>
    </w:p>
    <w:p w:rsidR="009543F7" w:rsidRDefault="009543F7" w:rsidP="008512C6">
      <w:pPr>
        <w:pStyle w:val="BulletList"/>
        <w:numPr>
          <w:ilvl w:val="0"/>
          <w:numId w:val="3"/>
        </w:numPr>
        <w:spacing w:after="60"/>
        <w:ind w:left="714" w:hanging="357"/>
      </w:pPr>
      <w:r w:rsidRPr="00ED3C77">
        <w:t xml:space="preserve">stipends for key young researchers in eligible countries (see </w:t>
      </w:r>
      <w:hyperlink w:anchor="Annex3EligibleCountries" w:history="1">
        <w:r w:rsidRPr="00D51E97">
          <w:rPr>
            <w:rStyle w:val="Hyperlink"/>
            <w:b/>
          </w:rPr>
          <w:t>Annex 3</w:t>
        </w:r>
      </w:hyperlink>
      <w:r w:rsidRPr="00ED3C77">
        <w:t>)</w:t>
      </w:r>
    </w:p>
    <w:p w:rsidR="007A2BFC" w:rsidRDefault="00090D7A" w:rsidP="008512C6">
      <w:pPr>
        <w:pStyle w:val="BulletList"/>
        <w:numPr>
          <w:ilvl w:val="1"/>
          <w:numId w:val="3"/>
        </w:numPr>
        <w:spacing w:after="60"/>
      </w:pPr>
      <w:r>
        <w:t xml:space="preserve">total </w:t>
      </w:r>
      <w:r w:rsidR="007A2BFC">
        <w:t xml:space="preserve">stipends may not </w:t>
      </w:r>
      <w:r>
        <w:t>be</w:t>
      </w:r>
      <w:r w:rsidR="007A2BFC">
        <w:t xml:space="preserve"> more than 15% of the project budget</w:t>
      </w:r>
    </w:p>
    <w:p w:rsidR="007A2BFC" w:rsidRDefault="007A2BFC" w:rsidP="008512C6">
      <w:pPr>
        <w:pStyle w:val="BulletList"/>
        <w:numPr>
          <w:ilvl w:val="1"/>
          <w:numId w:val="3"/>
        </w:numPr>
        <w:spacing w:after="60"/>
      </w:pPr>
      <w:r>
        <w:t>stipend recipients must be employed full-time on the project</w:t>
      </w:r>
    </w:p>
    <w:p w:rsidR="007A2BFC" w:rsidRDefault="007A2BFC" w:rsidP="008512C6">
      <w:pPr>
        <w:pStyle w:val="BulletList"/>
        <w:numPr>
          <w:ilvl w:val="1"/>
          <w:numId w:val="3"/>
        </w:numPr>
        <w:spacing w:after="60"/>
      </w:pPr>
      <w:r>
        <w:t>stipend recipients must be aged 40 or less at the date of the initial award</w:t>
      </w:r>
    </w:p>
    <w:p w:rsidR="007A2BFC" w:rsidRDefault="007A2BFC" w:rsidP="008512C6">
      <w:pPr>
        <w:pStyle w:val="BulletList"/>
        <w:numPr>
          <w:ilvl w:val="1"/>
          <w:numId w:val="3"/>
        </w:numPr>
        <w:spacing w:after="60"/>
      </w:pPr>
      <w:r>
        <w:t xml:space="preserve">the CVs of proposed recipients must be submitted to and approved by the SPS office </w:t>
      </w:r>
      <w:r w:rsidRPr="007A2BFC">
        <w:rPr>
          <w:i/>
        </w:rPr>
        <w:t>before</w:t>
      </w:r>
      <w:r>
        <w:t xml:space="preserve"> stipends may be paid</w:t>
      </w:r>
    </w:p>
    <w:p w:rsidR="007A2BFC" w:rsidRPr="00ED3C77" w:rsidRDefault="00900CE3" w:rsidP="008512C6">
      <w:pPr>
        <w:pStyle w:val="BulletList"/>
        <w:numPr>
          <w:ilvl w:val="1"/>
          <w:numId w:val="3"/>
        </w:numPr>
        <w:spacing w:after="60"/>
      </w:pPr>
      <w:r>
        <w:t>Co-Director</w:t>
      </w:r>
      <w:r w:rsidR="007A2BFC">
        <w:t>s may not themselves receive stipends</w:t>
      </w:r>
    </w:p>
    <w:p w:rsidR="009543F7" w:rsidRPr="00ED3C77" w:rsidRDefault="009543F7" w:rsidP="00090D7A">
      <w:pPr>
        <w:pStyle w:val="Body"/>
        <w:spacing w:before="240" w:after="0"/>
      </w:pPr>
      <w:r w:rsidRPr="00ED3C77">
        <w:t xml:space="preserve">However, NATO funds </w:t>
      </w:r>
      <w:r w:rsidRPr="00ED3C77">
        <w:rPr>
          <w:b/>
        </w:rPr>
        <w:t>may not</w:t>
      </w:r>
      <w:r w:rsidRPr="00ED3C77">
        <w:t xml:space="preserve"> be used for:</w:t>
      </w:r>
    </w:p>
    <w:p w:rsidR="009543F7" w:rsidRPr="00ED3C77" w:rsidRDefault="009543F7" w:rsidP="00234914">
      <w:pPr>
        <w:pStyle w:val="BulletList"/>
        <w:spacing w:after="60"/>
        <w:ind w:left="714" w:hanging="357"/>
      </w:pPr>
      <w:r w:rsidRPr="00ED3C77">
        <w:t>salaries and related benefits of any kind</w:t>
      </w:r>
    </w:p>
    <w:p w:rsidR="009543F7" w:rsidRPr="00ED3C77" w:rsidRDefault="009543F7" w:rsidP="00234914">
      <w:pPr>
        <w:pStyle w:val="BulletList"/>
        <w:spacing w:after="60"/>
        <w:ind w:left="714" w:hanging="357"/>
      </w:pPr>
      <w:r w:rsidRPr="00ED3C77">
        <w:t>fees for advisors or consultants from non-NATO countries or for the advice of participants in this or any other SPS project</w:t>
      </w:r>
    </w:p>
    <w:p w:rsidR="009543F7" w:rsidRPr="00ED3C77" w:rsidRDefault="009543F7" w:rsidP="00234914">
      <w:pPr>
        <w:pStyle w:val="BulletList"/>
        <w:spacing w:after="60"/>
        <w:ind w:left="714" w:hanging="357"/>
      </w:pPr>
      <w:r w:rsidRPr="00ED3C77">
        <w:t>general consumables and services readily available in the participating institutes and countries</w:t>
      </w:r>
    </w:p>
    <w:p w:rsidR="009543F7" w:rsidRPr="00ED3C77" w:rsidRDefault="009543F7" w:rsidP="00234914">
      <w:pPr>
        <w:pStyle w:val="BulletList"/>
        <w:spacing w:after="60"/>
        <w:ind w:left="714" w:hanging="357"/>
      </w:pPr>
      <w:r w:rsidRPr="00ED3C77">
        <w:t>overhead or general administrative expenses including but not limited to construction, rental or use of buildings, depreciation of equipment already available, maintenance of premises, or consumables such as electricity and heat</w:t>
      </w:r>
      <w:r w:rsidR="00090D7A">
        <w:t>ing oil</w:t>
      </w:r>
    </w:p>
    <w:p w:rsidR="009543F7" w:rsidRPr="00ED3C77" w:rsidRDefault="009543F7" w:rsidP="00234914">
      <w:pPr>
        <w:pStyle w:val="BulletList"/>
        <w:spacing w:after="60"/>
        <w:ind w:left="714" w:hanging="357"/>
      </w:pPr>
      <w:r w:rsidRPr="00ED3C77">
        <w:t>daily and local travel</w:t>
      </w:r>
    </w:p>
    <w:p w:rsidR="009543F7" w:rsidRPr="00ED3C77" w:rsidRDefault="009543F7" w:rsidP="00234914">
      <w:pPr>
        <w:pStyle w:val="BulletList"/>
        <w:spacing w:after="60"/>
        <w:ind w:left="714" w:hanging="357"/>
      </w:pPr>
      <w:r w:rsidRPr="00ED3C77">
        <w:t xml:space="preserve">car rental (except with the </w:t>
      </w:r>
      <w:r w:rsidRPr="00ED3C77">
        <w:rPr>
          <w:i/>
        </w:rPr>
        <w:t>prior</w:t>
      </w:r>
      <w:r w:rsidRPr="00ED3C77">
        <w:t xml:space="preserve"> approval of the SPS office)</w:t>
      </w:r>
    </w:p>
    <w:p w:rsidR="009543F7" w:rsidRPr="00ED3C77" w:rsidRDefault="009543F7" w:rsidP="00234914">
      <w:pPr>
        <w:pStyle w:val="BulletList"/>
        <w:spacing w:after="60"/>
        <w:ind w:left="714" w:hanging="357"/>
      </w:pPr>
      <w:r w:rsidRPr="00ED3C77">
        <w:t>the purchase of vehicles</w:t>
      </w:r>
    </w:p>
    <w:p w:rsidR="009543F7" w:rsidRPr="00ED3C77" w:rsidRDefault="009543F7" w:rsidP="00234914">
      <w:pPr>
        <w:pStyle w:val="BulletList"/>
        <w:spacing w:after="60"/>
        <w:ind w:left="714" w:hanging="357"/>
      </w:pPr>
      <w:r w:rsidRPr="00ED3C77">
        <w:t>office equipment and supplies such as paper, copy machines, fax machines, etc.</w:t>
      </w:r>
    </w:p>
    <w:p w:rsidR="009543F7" w:rsidRPr="00ED3C77" w:rsidRDefault="009543F7" w:rsidP="00234914">
      <w:pPr>
        <w:pStyle w:val="BulletList"/>
        <w:spacing w:after="60"/>
        <w:ind w:left="714" w:hanging="357"/>
      </w:pPr>
      <w:r w:rsidRPr="00ED3C77">
        <w:t>payment of taxes or duties including import taxes and VAT</w:t>
      </w:r>
    </w:p>
    <w:p w:rsidR="009543F7" w:rsidRPr="00ED3C77" w:rsidRDefault="009543F7" w:rsidP="00234914">
      <w:pPr>
        <w:pStyle w:val="BulletList"/>
        <w:spacing w:after="60"/>
        <w:ind w:left="714" w:hanging="357"/>
      </w:pPr>
      <w:r w:rsidRPr="00ED3C77">
        <w:t>general language or computer courses</w:t>
      </w:r>
    </w:p>
    <w:p w:rsidR="009543F7" w:rsidRPr="00ED3C77" w:rsidRDefault="009543F7" w:rsidP="00234914">
      <w:pPr>
        <w:pStyle w:val="BulletList"/>
        <w:spacing w:after="60"/>
        <w:ind w:left="714" w:hanging="357"/>
      </w:pPr>
      <w:r w:rsidRPr="00ED3C77">
        <w:t>translation of documents</w:t>
      </w:r>
    </w:p>
    <w:p w:rsidR="009543F7" w:rsidRPr="00ED3C77" w:rsidRDefault="009543F7" w:rsidP="00090D7A">
      <w:pPr>
        <w:pStyle w:val="BulletList"/>
        <w:numPr>
          <w:ilvl w:val="0"/>
          <w:numId w:val="0"/>
        </w:numPr>
        <w:spacing w:before="240" w:after="0"/>
      </w:pPr>
      <w:r w:rsidRPr="00ED3C77">
        <w:t xml:space="preserve">According to the size of the project and the financial capability of the </w:t>
      </w:r>
      <w:r w:rsidR="00900CE3">
        <w:t>Co-Director</w:t>
      </w:r>
      <w:r w:rsidRPr="00ED3C77">
        <w:t xml:space="preserve">s and their institutions, co-funding of some expenses, particularly those marked </w:t>
      </w:r>
      <w:r w:rsidRPr="00ED3C77">
        <w:sym w:font="Wingdings" w:char="F076"/>
      </w:r>
      <w:r w:rsidRPr="00ED3C77">
        <w:t xml:space="preserve"> above, may be expected as part of the grant. The joint nature of the research should also be reflected in the allocation of funds among the </w:t>
      </w:r>
      <w:r w:rsidR="00900CE3">
        <w:t>Co-Director</w:t>
      </w:r>
      <w:r w:rsidRPr="00ED3C77">
        <w:t>s.</w:t>
      </w:r>
    </w:p>
    <w:p w:rsidR="00A81605" w:rsidRDefault="00A81605" w:rsidP="00234914">
      <w:pPr>
        <w:spacing w:after="120"/>
        <w:jc w:val="center"/>
        <w:rPr>
          <w:b/>
          <w:bCs/>
          <w:color w:val="3487C8"/>
          <w:sz w:val="22"/>
          <w:szCs w:val="22"/>
        </w:rPr>
        <w:sectPr w:rsidR="00A81605" w:rsidSect="00092F5C">
          <w:footnotePr>
            <w:numFmt w:val="chicago"/>
            <w:numRestart w:val="eachPage"/>
          </w:footnotePr>
          <w:pgSz w:w="12240" w:h="15840" w:code="1"/>
          <w:pgMar w:top="340" w:right="907" w:bottom="340" w:left="907" w:header="720" w:footer="720" w:gutter="0"/>
          <w:cols w:space="720"/>
          <w:titlePg/>
        </w:sectPr>
      </w:pPr>
    </w:p>
    <w:tbl>
      <w:tblPr>
        <w:tblW w:w="0" w:type="auto"/>
        <w:tblInd w:w="108" w:type="dxa"/>
        <w:tblBorders>
          <w:bottom w:val="single" w:sz="4" w:space="0" w:color="auto"/>
        </w:tblBorders>
        <w:tblLayout w:type="fixed"/>
        <w:tblCellMar>
          <w:bottom w:w="142" w:type="dxa"/>
        </w:tblCellMar>
        <w:tblLook w:val="0000"/>
      </w:tblPr>
      <w:tblGrid>
        <w:gridCol w:w="993"/>
        <w:gridCol w:w="9355"/>
      </w:tblGrid>
      <w:tr w:rsidR="00090D7A" w:rsidRPr="00ED3C77">
        <w:trPr>
          <w:trHeight w:val="1881"/>
        </w:trPr>
        <w:tc>
          <w:tcPr>
            <w:tcW w:w="993" w:type="dxa"/>
            <w:vAlign w:val="center"/>
          </w:tcPr>
          <w:p w:rsidR="00090D7A" w:rsidRPr="00ED3C77" w:rsidRDefault="000A15BE" w:rsidP="00A203DD">
            <w:pPr>
              <w:jc w:val="center"/>
              <w:rPr>
                <w:b/>
                <w:bCs/>
              </w:rPr>
            </w:pPr>
            <w:bookmarkStart w:id="37" w:name="Annex3EligibleCountries"/>
            <w:bookmarkEnd w:id="37"/>
            <w:r>
              <w:rPr>
                <w:b/>
                <w:bCs/>
                <w:noProof/>
                <w:lang w:val="en-US"/>
              </w:rPr>
              <w:drawing>
                <wp:inline distT="0" distB="0" distL="0" distR="0">
                  <wp:extent cx="581025" cy="11620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81025" cy="1162050"/>
                          </a:xfrm>
                          <a:prstGeom prst="rect">
                            <a:avLst/>
                          </a:prstGeom>
                          <a:noFill/>
                          <a:ln w="9525">
                            <a:noFill/>
                            <a:miter lim="800000"/>
                            <a:headEnd/>
                            <a:tailEnd/>
                          </a:ln>
                        </pic:spPr>
                      </pic:pic>
                    </a:graphicData>
                  </a:graphic>
                </wp:inline>
              </w:drawing>
            </w:r>
          </w:p>
        </w:tc>
        <w:tc>
          <w:tcPr>
            <w:tcW w:w="9355" w:type="dxa"/>
            <w:vAlign w:val="center"/>
          </w:tcPr>
          <w:p w:rsidR="00090D7A" w:rsidRPr="00ED3C77" w:rsidRDefault="00090D7A" w:rsidP="00090D7A">
            <w:pPr>
              <w:spacing w:after="120"/>
              <w:jc w:val="center"/>
              <w:rPr>
                <w:b/>
                <w:bCs/>
                <w:color w:val="3487C8"/>
                <w:sz w:val="22"/>
                <w:szCs w:val="22"/>
              </w:rPr>
            </w:pPr>
            <w:r w:rsidRPr="00ED3C77">
              <w:rPr>
                <w:b/>
                <w:bCs/>
                <w:color w:val="3487C8"/>
                <w:sz w:val="22"/>
                <w:szCs w:val="22"/>
              </w:rPr>
              <w:t>Emerging Security Challenges Division</w:t>
            </w:r>
          </w:p>
          <w:p w:rsidR="00090D7A" w:rsidRPr="00ED3C77" w:rsidRDefault="00090D7A" w:rsidP="00090D7A">
            <w:pPr>
              <w:spacing w:after="200"/>
              <w:jc w:val="center"/>
              <w:rPr>
                <w:b/>
                <w:bCs/>
                <w:color w:val="3487C8"/>
                <w:sz w:val="28"/>
                <w:szCs w:val="28"/>
              </w:rPr>
            </w:pPr>
            <w:r w:rsidRPr="00ED3C77">
              <w:rPr>
                <w:b/>
                <w:bCs/>
                <w:color w:val="3487C8"/>
                <w:sz w:val="28"/>
                <w:szCs w:val="28"/>
              </w:rPr>
              <w:t>Science for Peace and Security Programme</w:t>
            </w:r>
          </w:p>
          <w:p w:rsidR="00B508CD" w:rsidRPr="00A81605" w:rsidRDefault="00B508CD" w:rsidP="00B508CD">
            <w:pPr>
              <w:jc w:val="center"/>
              <w:rPr>
                <w:rFonts w:ascii="Arial" w:hAnsi="Arial" w:cs="Arial"/>
                <w:b/>
                <w:sz w:val="28"/>
                <w:szCs w:val="28"/>
              </w:rPr>
            </w:pPr>
            <w:r w:rsidRPr="00F07247">
              <w:rPr>
                <w:rFonts w:ascii="Arial" w:hAnsi="Arial" w:cs="Arial"/>
                <w:b/>
                <w:bCs/>
                <w:color w:val="00408B"/>
                <w:sz w:val="28"/>
                <w:szCs w:val="28"/>
              </w:rPr>
              <w:t>Guidelines for Applicants</w:t>
            </w:r>
            <w:r>
              <w:rPr>
                <w:rFonts w:ascii="Arial" w:hAnsi="Arial" w:cs="Arial"/>
                <w:b/>
                <w:bCs/>
                <w:color w:val="00408B"/>
                <w:sz w:val="28"/>
                <w:szCs w:val="28"/>
              </w:rPr>
              <w:t xml:space="preserve"> – Project Plan</w:t>
            </w:r>
          </w:p>
          <w:p w:rsidR="00090D7A" w:rsidRPr="00A81605" w:rsidRDefault="00090D7A" w:rsidP="00A81605">
            <w:pPr>
              <w:pStyle w:val="Heading1"/>
              <w:spacing w:before="0"/>
              <w:jc w:val="center"/>
              <w:rPr>
                <w:sz w:val="28"/>
                <w:szCs w:val="28"/>
              </w:rPr>
            </w:pPr>
            <w:bookmarkStart w:id="38" w:name="_Toc341274813"/>
            <w:r w:rsidRPr="00A81605">
              <w:rPr>
                <w:sz w:val="28"/>
                <w:szCs w:val="28"/>
              </w:rPr>
              <w:t xml:space="preserve">ANNEX 3: </w:t>
            </w:r>
            <w:r w:rsidR="00627626" w:rsidRPr="00A81605">
              <w:rPr>
                <w:sz w:val="28"/>
                <w:szCs w:val="28"/>
              </w:rPr>
              <w:t>Definitions</w:t>
            </w:r>
            <w:bookmarkEnd w:id="38"/>
          </w:p>
          <w:p w:rsidR="00090D7A" w:rsidRPr="00ED3C77" w:rsidRDefault="00090D7A" w:rsidP="00090D7A">
            <w:pPr>
              <w:jc w:val="center"/>
              <w:rPr>
                <w:b/>
                <w:bCs/>
              </w:rPr>
            </w:pPr>
            <w:r w:rsidRPr="00ED3C77">
              <w:rPr>
                <w:szCs w:val="18"/>
              </w:rPr>
              <w:t xml:space="preserve">NATO Emerging Security Challenges Division, SPS Programme, Bd. Léopold </w:t>
            </w:r>
            <w:smartTag w:uri="urn:schemas-microsoft-com:office:smarttags" w:element="stockticker">
              <w:r w:rsidRPr="00ED3C77">
                <w:rPr>
                  <w:szCs w:val="18"/>
                </w:rPr>
                <w:t>III</w:t>
              </w:r>
            </w:smartTag>
            <w:r w:rsidRPr="00ED3C77">
              <w:rPr>
                <w:szCs w:val="18"/>
              </w:rPr>
              <w:t xml:space="preserve">, </w:t>
            </w:r>
            <w:r w:rsidRPr="00ED3C77" w:rsidDel="00C17795">
              <w:rPr>
                <w:szCs w:val="18"/>
              </w:rPr>
              <w:t>B-</w:t>
            </w:r>
            <w:r w:rsidRPr="00ED3C77">
              <w:rPr>
                <w:szCs w:val="18"/>
              </w:rPr>
              <w:t>1110 Brussels, Belgium</w:t>
            </w:r>
          </w:p>
        </w:tc>
      </w:tr>
    </w:tbl>
    <w:p w:rsidR="004D7616" w:rsidRPr="00ED3C77" w:rsidRDefault="004D7616" w:rsidP="004D7616">
      <w:pPr>
        <w:pStyle w:val="Heading2"/>
      </w:pPr>
      <w:bookmarkStart w:id="39" w:name="_Toc341274814"/>
      <w:r w:rsidRPr="00ED3C77">
        <w:t>NATO Countries</w:t>
      </w:r>
    </w:p>
    <w:p w:rsidR="004D7616" w:rsidRPr="00ED3C77" w:rsidRDefault="004D7616" w:rsidP="004D7616">
      <w:pPr>
        <w:pStyle w:val="Body"/>
      </w:pPr>
      <w:r w:rsidRPr="00ED3C77">
        <w:t xml:space="preserve">Albania, Belgium, Bulgaria, Canada, Croatia, Czech Republic, Denmark, Estonia, France, Germany, Greece, Hungary, Iceland, Italy, Latvia, Lithuania, Luxembourg, Netherlands, Norway, Poland, Portugal, Romania, Slovak Republic, Slovenia, Spain, </w:t>
      </w:r>
      <w:r>
        <w:t>T</w:t>
      </w:r>
      <w:r w:rsidRPr="00ED3C77">
        <w:t>urkey, United Kingdom, United States</w:t>
      </w:r>
    </w:p>
    <w:p w:rsidR="004D7616" w:rsidRPr="00ED3C77" w:rsidRDefault="004D7616" w:rsidP="004D7616">
      <w:pPr>
        <w:pStyle w:val="Heading2"/>
      </w:pPr>
      <w:r w:rsidRPr="00ED3C77">
        <w:t>NATO Partners</w:t>
      </w:r>
    </w:p>
    <w:p w:rsidR="004D7616" w:rsidRPr="00ED3C77" w:rsidRDefault="004D7616" w:rsidP="004D7616">
      <w:pPr>
        <w:pStyle w:val="Body"/>
      </w:pPr>
      <w:r w:rsidRPr="00ED3C77">
        <w:t>Afghanistan</w:t>
      </w:r>
      <w:r w:rsidRPr="00ED3C77">
        <w:rPr>
          <w:vertAlign w:val="superscript"/>
        </w:rPr>
        <w:t>*</w:t>
      </w:r>
      <w:r w:rsidRPr="00ED3C77">
        <w:t>, Algeria</w:t>
      </w:r>
      <w:r w:rsidRPr="00ED3C77">
        <w:rPr>
          <w:vertAlign w:val="superscript"/>
        </w:rPr>
        <w:t>*</w:t>
      </w:r>
      <w:r w:rsidRPr="00ED3C77">
        <w:t>, Armenia</w:t>
      </w:r>
      <w:r w:rsidRPr="00ED3C77">
        <w:rPr>
          <w:vertAlign w:val="superscript"/>
        </w:rPr>
        <w:t>*</w:t>
      </w:r>
      <w:r w:rsidRPr="00ED3C77">
        <w:t>, Australia, Austria, Azerbaijan</w:t>
      </w:r>
      <w:r w:rsidRPr="00ED3C77">
        <w:rPr>
          <w:vertAlign w:val="superscript"/>
        </w:rPr>
        <w:t>*</w:t>
      </w:r>
      <w:r w:rsidRPr="00ED3C77">
        <w:t>, Bahrain, Belarus</w:t>
      </w:r>
      <w:r w:rsidRPr="00ED3C77">
        <w:rPr>
          <w:vertAlign w:val="superscript"/>
        </w:rPr>
        <w:t>*</w:t>
      </w:r>
      <w:r w:rsidRPr="00ED3C77">
        <w:t>, Bosnia and Herzegovina</w:t>
      </w:r>
      <w:r w:rsidRPr="00ED3C77">
        <w:rPr>
          <w:vertAlign w:val="superscript"/>
        </w:rPr>
        <w:t>*</w:t>
      </w:r>
      <w:r w:rsidRPr="00ED3C77">
        <w:t>, Egypt</w:t>
      </w:r>
      <w:r w:rsidRPr="00ED3C77">
        <w:rPr>
          <w:vertAlign w:val="superscript"/>
        </w:rPr>
        <w:t>*</w:t>
      </w:r>
      <w:r w:rsidRPr="00ED3C77">
        <w:t>, Finland, Georgia</w:t>
      </w:r>
      <w:r w:rsidRPr="00ED3C77">
        <w:rPr>
          <w:vertAlign w:val="superscript"/>
        </w:rPr>
        <w:t>*</w:t>
      </w:r>
      <w:r w:rsidRPr="00ED3C77">
        <w:t>, Iraq</w:t>
      </w:r>
      <w:r w:rsidRPr="00ED3C77">
        <w:rPr>
          <w:vertAlign w:val="superscript"/>
        </w:rPr>
        <w:t>*</w:t>
      </w:r>
      <w:r w:rsidRPr="00ED3C77">
        <w:t>, Ireland, Israel, Japan, Jordan</w:t>
      </w:r>
      <w:r w:rsidRPr="00ED3C77">
        <w:rPr>
          <w:vertAlign w:val="superscript"/>
        </w:rPr>
        <w:t>*</w:t>
      </w:r>
      <w:r w:rsidRPr="00ED3C77">
        <w:t>, Kazakhstan</w:t>
      </w:r>
      <w:r w:rsidRPr="00ED3C77">
        <w:rPr>
          <w:vertAlign w:val="superscript"/>
        </w:rPr>
        <w:t>*</w:t>
      </w:r>
      <w:r w:rsidRPr="00ED3C77">
        <w:t>, Kuwait, Kyrgyz Republic</w:t>
      </w:r>
      <w:r w:rsidRPr="00ED3C77">
        <w:rPr>
          <w:vertAlign w:val="superscript"/>
        </w:rPr>
        <w:t>*</w:t>
      </w:r>
      <w:r w:rsidRPr="00ED3C77">
        <w:t>, Malta, Mauritania</w:t>
      </w:r>
      <w:r w:rsidRPr="00ED3C77">
        <w:rPr>
          <w:vertAlign w:val="superscript"/>
        </w:rPr>
        <w:t>*</w:t>
      </w:r>
      <w:r w:rsidRPr="00ED3C77">
        <w:t>, Moldova</w:t>
      </w:r>
      <w:r w:rsidRPr="00ED3C77">
        <w:rPr>
          <w:vertAlign w:val="superscript"/>
        </w:rPr>
        <w:t>*</w:t>
      </w:r>
      <w:r w:rsidRPr="00ED3C77">
        <w:t>, Mongolia</w:t>
      </w:r>
      <w:r w:rsidRPr="00ED3C77">
        <w:rPr>
          <w:vertAlign w:val="superscript"/>
        </w:rPr>
        <w:t>*</w:t>
      </w:r>
      <w:r w:rsidRPr="00ED3C77">
        <w:t>, Montenegro</w:t>
      </w:r>
      <w:r w:rsidRPr="00ED3C77">
        <w:rPr>
          <w:vertAlign w:val="superscript"/>
        </w:rPr>
        <w:t>*</w:t>
      </w:r>
      <w:r w:rsidRPr="00ED3C77">
        <w:t>, Morocco</w:t>
      </w:r>
      <w:r w:rsidRPr="00ED3C77">
        <w:rPr>
          <w:vertAlign w:val="superscript"/>
        </w:rPr>
        <w:t>*</w:t>
      </w:r>
      <w:r w:rsidRPr="00ED3C77">
        <w:t>, New Zealand, Pakistan</w:t>
      </w:r>
      <w:r w:rsidRPr="00ED3C77">
        <w:rPr>
          <w:vertAlign w:val="superscript"/>
        </w:rPr>
        <w:t>*</w:t>
      </w:r>
      <w:r w:rsidRPr="00ED3C77">
        <w:t>, Qatar, Republic of Korea, Russian Federation, Serbia</w:t>
      </w:r>
      <w:r w:rsidRPr="00ED3C77">
        <w:rPr>
          <w:vertAlign w:val="superscript"/>
        </w:rPr>
        <w:t>*</w:t>
      </w:r>
      <w:r w:rsidRPr="00ED3C77">
        <w:t>, Sweden, Switzerland, Tajikistan</w:t>
      </w:r>
      <w:r w:rsidRPr="00ED3C77">
        <w:rPr>
          <w:vertAlign w:val="superscript"/>
        </w:rPr>
        <w:t>*</w:t>
      </w:r>
      <w:r w:rsidRPr="00ED3C77">
        <w:t>, the former Yugoslav Republic of Macedonia</w:t>
      </w:r>
      <w:r w:rsidRPr="00CE5A91">
        <w:rPr>
          <w:vertAlign w:val="superscript"/>
        </w:rPr>
        <w:t>†</w:t>
      </w:r>
      <w:r w:rsidRPr="00ED3C77">
        <w:rPr>
          <w:vertAlign w:val="superscript"/>
        </w:rPr>
        <w:t>*</w:t>
      </w:r>
      <w:r w:rsidRPr="00ED3C77">
        <w:t>, Tunisia</w:t>
      </w:r>
      <w:r w:rsidRPr="00ED3C77">
        <w:rPr>
          <w:vertAlign w:val="superscript"/>
        </w:rPr>
        <w:t>*</w:t>
      </w:r>
      <w:r w:rsidRPr="00ED3C77">
        <w:t>, Turkmenistan</w:t>
      </w:r>
      <w:r w:rsidRPr="00ED3C77">
        <w:rPr>
          <w:vertAlign w:val="superscript"/>
        </w:rPr>
        <w:t>*</w:t>
      </w:r>
      <w:r w:rsidRPr="00ED3C77">
        <w:t>, Ukraine</w:t>
      </w:r>
      <w:r w:rsidRPr="00ED3C77">
        <w:rPr>
          <w:vertAlign w:val="superscript"/>
        </w:rPr>
        <w:t>*</w:t>
      </w:r>
      <w:r w:rsidRPr="00ED3C77">
        <w:t>, United Arab Emirates, Uzbekistan</w:t>
      </w:r>
      <w:r w:rsidRPr="00ED3C77">
        <w:rPr>
          <w:vertAlign w:val="superscript"/>
        </w:rPr>
        <w:t>*</w:t>
      </w:r>
      <w:r w:rsidRPr="00ED3C77">
        <w:t>.</w:t>
      </w:r>
    </w:p>
    <w:p w:rsidR="004D7616" w:rsidRDefault="004D7616" w:rsidP="004D7616">
      <w:pPr>
        <w:pStyle w:val="Body"/>
      </w:pPr>
      <w:r w:rsidRPr="00ED3C77">
        <w:t xml:space="preserve">Young researchers from partner countries indicated with </w:t>
      </w:r>
      <w:r w:rsidRPr="00ED3C77">
        <w:rPr>
          <w:vertAlign w:val="superscript"/>
        </w:rPr>
        <w:t>*</w:t>
      </w:r>
      <w:r w:rsidRPr="00ED3C77">
        <w:t xml:space="preserve"> are eligible for SPS-funded stipends. Young researchers from NATO countries may be eligible on a case-by-case basis.</w:t>
      </w:r>
      <w:r>
        <w:t xml:space="preserve"> </w:t>
      </w:r>
    </w:p>
    <w:p w:rsidR="004D7616" w:rsidRDefault="004D7616" w:rsidP="004D7616">
      <w:pPr>
        <w:pStyle w:val="Body"/>
      </w:pPr>
      <w:r w:rsidRPr="00CE5A91">
        <w:rPr>
          <w:vertAlign w:val="superscript"/>
        </w:rPr>
        <w:t>†</w:t>
      </w:r>
      <w:r w:rsidRPr="00CE5A91">
        <w:t>Turkey recognises the Republic of Macedonia with its constitutional name.</w:t>
      </w:r>
    </w:p>
    <w:p w:rsidR="004D7616" w:rsidRPr="00DA5A97" w:rsidRDefault="004D7616" w:rsidP="004D7616">
      <w:pPr>
        <w:pStyle w:val="Heading2"/>
      </w:pPr>
      <w:r w:rsidRPr="00DA5A97">
        <w:t>Independent Scientific Evaluation Group (ISEG)</w:t>
      </w:r>
    </w:p>
    <w:p w:rsidR="004D7616" w:rsidRPr="00DA5A97" w:rsidRDefault="004D7616" w:rsidP="004D7616">
      <w:pPr>
        <w:pStyle w:val="Body"/>
      </w:pPr>
      <w:r>
        <w:t xml:space="preserve">The ISEG is an </w:t>
      </w:r>
      <w:r w:rsidRPr="00DA5A97">
        <w:t>independent group of experts selected by NATO’s nations</w:t>
      </w:r>
      <w:r>
        <w:t xml:space="preserve"> who</w:t>
      </w:r>
      <w:r w:rsidRPr="00DA5A97">
        <w:t xml:space="preserve"> meet on a regular basis to evaluate SPS Project Plans. If a </w:t>
      </w:r>
      <w:r>
        <w:t>P</w:t>
      </w:r>
      <w:r w:rsidRPr="00DA5A97">
        <w:t xml:space="preserve">roject </w:t>
      </w:r>
      <w:r>
        <w:t>P</w:t>
      </w:r>
      <w:r w:rsidRPr="00DA5A97">
        <w:t xml:space="preserve">lan is approved for funding, one or two members of the ISEG will be assigned to follow </w:t>
      </w:r>
      <w:r>
        <w:t>the project’s</w:t>
      </w:r>
      <w:r w:rsidRPr="00DA5A97">
        <w:t xml:space="preserve"> progress.</w:t>
      </w:r>
    </w:p>
    <w:p w:rsidR="004D7616" w:rsidRPr="00DA5A97" w:rsidRDefault="004D7616" w:rsidP="004D7616">
      <w:pPr>
        <w:pStyle w:val="Heading2"/>
      </w:pPr>
      <w:r w:rsidRPr="00DA5A97">
        <w:rPr>
          <w:u w:val="single"/>
        </w:rPr>
        <w:t>N</w:t>
      </w:r>
      <w:r w:rsidRPr="00DA5A97">
        <w:t xml:space="preserve">ATO country </w:t>
      </w:r>
      <w:r w:rsidRPr="00DA5A97">
        <w:rPr>
          <w:u w:val="single"/>
        </w:rPr>
        <w:t>P</w:t>
      </w:r>
      <w:r w:rsidRPr="00DA5A97">
        <w:t xml:space="preserve">roject </w:t>
      </w:r>
      <w:r w:rsidRPr="00DA5A97">
        <w:rPr>
          <w:u w:val="single"/>
        </w:rPr>
        <w:t>D</w:t>
      </w:r>
      <w:r w:rsidRPr="00DA5A97">
        <w:t>irector (NPD)</w:t>
      </w:r>
    </w:p>
    <w:p w:rsidR="004D7616" w:rsidRPr="00DA5A97" w:rsidRDefault="004D7616" w:rsidP="004D7616">
      <w:pPr>
        <w:pStyle w:val="Body"/>
      </w:pPr>
      <w:r w:rsidRPr="00DA5A97">
        <w:t>The NPD is the person from a NATO country who has been chosen by the applicants to maintain the primary financial responsibility and assume the co-ordination of the project together with the PPD. There may be only one NPD a multi-year Project.</w:t>
      </w:r>
    </w:p>
    <w:p w:rsidR="004D7616" w:rsidRPr="00DA5A97" w:rsidRDefault="004D7616" w:rsidP="004D7616">
      <w:pPr>
        <w:pStyle w:val="Heading2"/>
      </w:pPr>
      <w:r w:rsidRPr="00DA5A97">
        <w:rPr>
          <w:u w:val="single"/>
        </w:rPr>
        <w:t>P</w:t>
      </w:r>
      <w:r w:rsidRPr="00DA5A97">
        <w:t xml:space="preserve">artner country </w:t>
      </w:r>
      <w:r w:rsidRPr="00DA5A97">
        <w:rPr>
          <w:u w:val="single"/>
        </w:rPr>
        <w:t>P</w:t>
      </w:r>
      <w:r w:rsidRPr="00DA5A97">
        <w:t xml:space="preserve">roject </w:t>
      </w:r>
      <w:r w:rsidRPr="00DA5A97">
        <w:rPr>
          <w:u w:val="single"/>
        </w:rPr>
        <w:t>D</w:t>
      </w:r>
      <w:r w:rsidRPr="00DA5A97">
        <w:t>irector (PPD)</w:t>
      </w:r>
    </w:p>
    <w:p w:rsidR="004D7616" w:rsidRPr="00DA5A97" w:rsidRDefault="004D7616" w:rsidP="004D7616">
      <w:pPr>
        <w:pStyle w:val="Body"/>
      </w:pPr>
      <w:r w:rsidRPr="00DA5A97">
        <w:t>The PPD is the person from a partner country who has been chosen by the applicants to be responsible for the co-ordination of the project together with the NPD.  There may be only one PPD in a multi-year Project.</w:t>
      </w:r>
    </w:p>
    <w:p w:rsidR="004D7616" w:rsidRPr="00DA5A97" w:rsidRDefault="004D7616" w:rsidP="004D7616">
      <w:pPr>
        <w:pStyle w:val="Heading2"/>
      </w:pPr>
      <w:r w:rsidRPr="00DA5A97">
        <w:t>Project Co-Directors</w:t>
      </w:r>
    </w:p>
    <w:p w:rsidR="004D7616" w:rsidRPr="00DA5A97" w:rsidRDefault="004D7616" w:rsidP="004D7616">
      <w:pPr>
        <w:pStyle w:val="Body"/>
      </w:pPr>
      <w:r w:rsidRPr="00DA5A97">
        <w:t>Persons involved in the project, who are responsible for a team and who have an assigned NATO budget (including the NPD and PPD).</w:t>
      </w:r>
    </w:p>
    <w:p w:rsidR="004D7616" w:rsidRPr="00DA5A97" w:rsidRDefault="004D7616" w:rsidP="004D7616">
      <w:pPr>
        <w:pStyle w:val="Heading2"/>
      </w:pPr>
      <w:r w:rsidRPr="00DA5A97">
        <w:t>Participants</w:t>
      </w:r>
    </w:p>
    <w:p w:rsidR="004D7616" w:rsidRPr="00DA5A97" w:rsidRDefault="004D7616" w:rsidP="004D7616">
      <w:pPr>
        <w:pStyle w:val="Body"/>
      </w:pPr>
      <w:r w:rsidRPr="00DA5A97">
        <w:t>General term for persons involved in the project with or without an assigned NATO budget.</w:t>
      </w:r>
    </w:p>
    <w:p w:rsidR="004D7616" w:rsidRPr="00DA5A97" w:rsidRDefault="004D7616" w:rsidP="004D7616">
      <w:pPr>
        <w:pStyle w:val="Heading2"/>
      </w:pPr>
      <w:r w:rsidRPr="00DA5A97">
        <w:t xml:space="preserve">Industrial and/or Public Sector Collaborators </w:t>
      </w:r>
    </w:p>
    <w:p w:rsidR="004D7616" w:rsidRPr="00DA5A97" w:rsidRDefault="004D7616" w:rsidP="004D7616">
      <w:pPr>
        <w:pStyle w:val="Body"/>
      </w:pPr>
      <w:r w:rsidRPr="00DA5A97">
        <w:t>These are companies or organisations that are actually participating in the project and contributing their know-how and expertise toward bringing the project to a successful conclusion. These companies or organisations will generally be the end-users of the results of the project.</w:t>
      </w:r>
    </w:p>
    <w:p w:rsidR="004D7616" w:rsidRPr="00DA5A97" w:rsidRDefault="004D7616" w:rsidP="004D7616">
      <w:pPr>
        <w:pStyle w:val="Heading2"/>
      </w:pPr>
      <w:r w:rsidRPr="00DA5A97">
        <w:t>End-User</w:t>
      </w:r>
    </w:p>
    <w:p w:rsidR="004D7616" w:rsidRPr="00DA5A97" w:rsidRDefault="004D7616" w:rsidP="004D7616">
      <w:pPr>
        <w:pStyle w:val="Body"/>
      </w:pPr>
      <w:r w:rsidRPr="00DA5A97">
        <w:t>The entity(</w:t>
      </w:r>
      <w:proofErr w:type="spellStart"/>
      <w:r w:rsidRPr="00DA5A97">
        <w:t>ies</w:t>
      </w:r>
      <w:proofErr w:type="spellEnd"/>
      <w:r w:rsidRPr="00DA5A97">
        <w:t>) which will be using the results of the project.</w:t>
      </w:r>
      <w:r>
        <w:t xml:space="preserve"> </w:t>
      </w:r>
      <w:r w:rsidRPr="00DA5A97">
        <w:t>In the case of environmental security projects this can be, e.g., a Government ministry, State organisation or regional authority in charge of the environmental protection within a participating country. In the case of industrial projects, the end-user(s) will generally be a private, commercial and/or industrial company(</w:t>
      </w:r>
      <w:proofErr w:type="spellStart"/>
      <w:r w:rsidRPr="00DA5A97">
        <w:t>ies</w:t>
      </w:r>
      <w:proofErr w:type="spellEnd"/>
      <w:r w:rsidRPr="00DA5A97">
        <w:t>). Private/Commercial/Industrial Companies are not eligible to receive NATO funding.</w:t>
      </w:r>
    </w:p>
    <w:p w:rsidR="004D7616" w:rsidRPr="00DA5A97" w:rsidRDefault="004D7616" w:rsidP="004D7616">
      <w:pPr>
        <w:pStyle w:val="Heading2"/>
      </w:pPr>
      <w:r w:rsidRPr="00DA5A97">
        <w:t>Project Plan</w:t>
      </w:r>
    </w:p>
    <w:p w:rsidR="004D7616" w:rsidRPr="00DA5A97" w:rsidRDefault="004D7616" w:rsidP="004D7616">
      <w:pPr>
        <w:pStyle w:val="Body"/>
      </w:pPr>
      <w:r w:rsidRPr="00DA5A97">
        <w:t>The detailed document in which the applicants fully describe their project, including the objectives, milestones, tasks, budget, communications plan and, if applicable, Intellectual Property Rights Agreement (IPR). The approved version of the Project Plan will become part of the contract between NATO and the Co-Directors.</w:t>
      </w:r>
    </w:p>
    <w:p w:rsidR="004D7616" w:rsidRPr="00DA5A97" w:rsidRDefault="004D7616" w:rsidP="004D7616">
      <w:pPr>
        <w:pStyle w:val="Heading2"/>
      </w:pPr>
      <w:r w:rsidRPr="00DA5A97">
        <w:t>SPS Advisor</w:t>
      </w:r>
    </w:p>
    <w:p w:rsidR="004D7616" w:rsidRDefault="004D7616" w:rsidP="00DA5A97">
      <w:pPr>
        <w:pStyle w:val="Body"/>
      </w:pPr>
      <w:r w:rsidRPr="00DA5A97">
        <w:t xml:space="preserve">The staff member of NATO’s Science for Peace and Security (SPS) Programme responsible for the management of multi-year </w:t>
      </w:r>
      <w:r>
        <w:t>SPS Projects.</w:t>
      </w:r>
    </w:p>
    <w:bookmarkEnd w:id="1"/>
    <w:bookmarkEnd w:id="39"/>
    <w:p w:rsidR="00E6517E" w:rsidRDefault="00E6517E" w:rsidP="00DA5A97">
      <w:pPr>
        <w:pStyle w:val="Body"/>
        <w:sectPr w:rsidR="00E6517E" w:rsidSect="00E6517E">
          <w:headerReference w:type="even" r:id="rId21"/>
          <w:headerReference w:type="default" r:id="rId22"/>
          <w:footnotePr>
            <w:numFmt w:val="chicago"/>
            <w:numRestart w:val="eachPage"/>
          </w:footnotePr>
          <w:pgSz w:w="12240" w:h="15840" w:code="1"/>
          <w:pgMar w:top="340" w:right="907" w:bottom="340" w:left="907" w:header="720" w:footer="720" w:gutter="0"/>
          <w:pgNumType w:start="1"/>
          <w:cols w:space="720"/>
          <w:titlePg/>
        </w:sectPr>
      </w:pPr>
    </w:p>
    <w:tbl>
      <w:tblPr>
        <w:tblW w:w="0" w:type="auto"/>
        <w:tblInd w:w="108" w:type="dxa"/>
        <w:tblBorders>
          <w:bottom w:val="single" w:sz="4" w:space="0" w:color="auto"/>
        </w:tblBorders>
        <w:tblLayout w:type="fixed"/>
        <w:tblCellMar>
          <w:bottom w:w="142" w:type="dxa"/>
        </w:tblCellMar>
        <w:tblLook w:val="0000"/>
      </w:tblPr>
      <w:tblGrid>
        <w:gridCol w:w="993"/>
        <w:gridCol w:w="9355"/>
      </w:tblGrid>
      <w:tr w:rsidR="00D8312F" w:rsidRPr="00ED3C77" w:rsidTr="00F40882">
        <w:trPr>
          <w:trHeight w:val="1881"/>
        </w:trPr>
        <w:tc>
          <w:tcPr>
            <w:tcW w:w="993" w:type="dxa"/>
            <w:vAlign w:val="center"/>
          </w:tcPr>
          <w:p w:rsidR="00D8312F" w:rsidRPr="00ED3C77" w:rsidRDefault="00D8312F" w:rsidP="00F40882">
            <w:pPr>
              <w:jc w:val="center"/>
              <w:rPr>
                <w:b/>
                <w:bCs/>
              </w:rPr>
            </w:pPr>
            <w:bookmarkStart w:id="40" w:name="Annex4Travel"/>
            <w:bookmarkStart w:id="41" w:name="Annex5Consultants"/>
            <w:bookmarkEnd w:id="40"/>
            <w:bookmarkEnd w:id="41"/>
            <w:r>
              <w:rPr>
                <w:b/>
                <w:bCs/>
                <w:noProof/>
                <w:lang w:val="en-US"/>
              </w:rPr>
              <w:drawing>
                <wp:inline distT="0" distB="0" distL="0" distR="0">
                  <wp:extent cx="581025" cy="1162050"/>
                  <wp:effectExtent l="19050" t="0" r="9525" b="0"/>
                  <wp:docPr id="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81025" cy="1162050"/>
                          </a:xfrm>
                          <a:prstGeom prst="rect">
                            <a:avLst/>
                          </a:prstGeom>
                          <a:noFill/>
                          <a:ln w="9525">
                            <a:noFill/>
                            <a:miter lim="800000"/>
                            <a:headEnd/>
                            <a:tailEnd/>
                          </a:ln>
                        </pic:spPr>
                      </pic:pic>
                    </a:graphicData>
                  </a:graphic>
                </wp:inline>
              </w:drawing>
            </w:r>
          </w:p>
        </w:tc>
        <w:tc>
          <w:tcPr>
            <w:tcW w:w="9355" w:type="dxa"/>
            <w:vAlign w:val="center"/>
          </w:tcPr>
          <w:p w:rsidR="00D8312F" w:rsidRPr="00ED3C77" w:rsidRDefault="00D8312F" w:rsidP="00F40882">
            <w:pPr>
              <w:spacing w:after="120"/>
              <w:jc w:val="center"/>
              <w:rPr>
                <w:b/>
                <w:bCs/>
                <w:color w:val="3487C8"/>
                <w:sz w:val="22"/>
                <w:szCs w:val="22"/>
              </w:rPr>
            </w:pPr>
            <w:r w:rsidRPr="00ED3C77">
              <w:rPr>
                <w:b/>
                <w:bCs/>
                <w:color w:val="3487C8"/>
                <w:sz w:val="22"/>
                <w:szCs w:val="22"/>
              </w:rPr>
              <w:t>Emerging Security Challenges Division</w:t>
            </w:r>
          </w:p>
          <w:p w:rsidR="00D8312F" w:rsidRPr="00ED3C77" w:rsidRDefault="00D8312F" w:rsidP="00F40882">
            <w:pPr>
              <w:spacing w:after="200"/>
              <w:jc w:val="center"/>
              <w:rPr>
                <w:b/>
                <w:bCs/>
                <w:color w:val="3487C8"/>
                <w:sz w:val="28"/>
                <w:szCs w:val="28"/>
              </w:rPr>
            </w:pPr>
            <w:r w:rsidRPr="00ED3C77">
              <w:rPr>
                <w:b/>
                <w:bCs/>
                <w:color w:val="3487C8"/>
                <w:sz w:val="28"/>
                <w:szCs w:val="28"/>
              </w:rPr>
              <w:t>Science for Peace and Security Programme</w:t>
            </w:r>
          </w:p>
          <w:p w:rsidR="00D8312F" w:rsidRPr="00A81605" w:rsidRDefault="00D8312F" w:rsidP="00F40882">
            <w:pPr>
              <w:jc w:val="center"/>
              <w:rPr>
                <w:rFonts w:ascii="Arial" w:hAnsi="Arial" w:cs="Arial"/>
                <w:b/>
                <w:sz w:val="28"/>
                <w:szCs w:val="28"/>
              </w:rPr>
            </w:pPr>
            <w:r w:rsidRPr="00F07247">
              <w:rPr>
                <w:rFonts w:ascii="Arial" w:hAnsi="Arial" w:cs="Arial"/>
                <w:b/>
                <w:bCs/>
                <w:color w:val="00408B"/>
                <w:sz w:val="28"/>
                <w:szCs w:val="28"/>
              </w:rPr>
              <w:t>Guidelines for Applicants</w:t>
            </w:r>
            <w:r>
              <w:rPr>
                <w:rFonts w:ascii="Arial" w:hAnsi="Arial" w:cs="Arial"/>
                <w:b/>
                <w:bCs/>
                <w:color w:val="00408B"/>
                <w:sz w:val="28"/>
                <w:szCs w:val="28"/>
              </w:rPr>
              <w:t xml:space="preserve"> – Project Plan</w:t>
            </w:r>
          </w:p>
          <w:p w:rsidR="00D8312F" w:rsidRPr="00A81605" w:rsidRDefault="00D8312F" w:rsidP="00F40882">
            <w:pPr>
              <w:pStyle w:val="Heading1"/>
              <w:spacing w:before="0"/>
              <w:jc w:val="center"/>
              <w:rPr>
                <w:sz w:val="28"/>
                <w:szCs w:val="28"/>
              </w:rPr>
            </w:pPr>
            <w:r w:rsidRPr="00A81605">
              <w:rPr>
                <w:sz w:val="28"/>
                <w:szCs w:val="28"/>
              </w:rPr>
              <w:t xml:space="preserve">ANNEX </w:t>
            </w:r>
            <w:r>
              <w:rPr>
                <w:sz w:val="28"/>
                <w:szCs w:val="28"/>
              </w:rPr>
              <w:t>4</w:t>
            </w:r>
            <w:r w:rsidRPr="00A81605">
              <w:rPr>
                <w:sz w:val="28"/>
                <w:szCs w:val="28"/>
              </w:rPr>
              <w:t xml:space="preserve">: </w:t>
            </w:r>
            <w:r>
              <w:rPr>
                <w:sz w:val="28"/>
                <w:szCs w:val="28"/>
              </w:rPr>
              <w:t>Consultants</w:t>
            </w:r>
          </w:p>
          <w:p w:rsidR="00D8312F" w:rsidRPr="00ED3C77" w:rsidRDefault="00D8312F" w:rsidP="00F40882">
            <w:pPr>
              <w:jc w:val="center"/>
              <w:rPr>
                <w:b/>
                <w:bCs/>
              </w:rPr>
            </w:pPr>
            <w:r w:rsidRPr="00ED3C77">
              <w:rPr>
                <w:szCs w:val="18"/>
              </w:rPr>
              <w:t xml:space="preserve">NATO Emerging Security Challenges Division, SPS Programme, Bd. Léopold </w:t>
            </w:r>
            <w:smartTag w:uri="urn:schemas-microsoft-com:office:smarttags" w:element="stockticker">
              <w:r w:rsidRPr="00ED3C77">
                <w:rPr>
                  <w:szCs w:val="18"/>
                </w:rPr>
                <w:t>III</w:t>
              </w:r>
            </w:smartTag>
            <w:r w:rsidRPr="00ED3C77">
              <w:rPr>
                <w:szCs w:val="18"/>
              </w:rPr>
              <w:t xml:space="preserve">, </w:t>
            </w:r>
            <w:r w:rsidRPr="00ED3C77" w:rsidDel="00C17795">
              <w:rPr>
                <w:szCs w:val="18"/>
              </w:rPr>
              <w:t>B-</w:t>
            </w:r>
            <w:r w:rsidRPr="00ED3C77">
              <w:rPr>
                <w:szCs w:val="18"/>
              </w:rPr>
              <w:t>1110 Brussels, Belgium</w:t>
            </w:r>
          </w:p>
        </w:tc>
      </w:tr>
    </w:tbl>
    <w:p w:rsidR="0015500F" w:rsidRDefault="0015500F" w:rsidP="0015500F">
      <w:pPr>
        <w:pStyle w:val="Body"/>
        <w:numPr>
          <w:ilvl w:val="0"/>
          <w:numId w:val="21"/>
        </w:numPr>
        <w:spacing w:before="120" w:after="60"/>
        <w:ind w:left="714" w:hanging="357"/>
      </w:pPr>
      <w:r>
        <w:t>SPS Projects address a broad spectrum of scientific and technological disciplines. For some applications, the evaluation of Project Plans and follow-up of approved Projects require the involvement of outside experts. In such cases, NATO will assign a Consultant whose role is:</w:t>
      </w:r>
    </w:p>
    <w:p w:rsidR="0015500F" w:rsidRDefault="0015500F" w:rsidP="0015500F">
      <w:pPr>
        <w:pStyle w:val="Body"/>
        <w:numPr>
          <w:ilvl w:val="1"/>
          <w:numId w:val="21"/>
        </w:numPr>
        <w:spacing w:after="60"/>
      </w:pPr>
      <w:r>
        <w:t>to advise NATO, through the SPS Projects Office, on the merits of the Project, and</w:t>
      </w:r>
    </w:p>
    <w:p w:rsidR="0015500F" w:rsidRDefault="0015500F" w:rsidP="0015500F">
      <w:pPr>
        <w:pStyle w:val="Body"/>
        <w:numPr>
          <w:ilvl w:val="1"/>
          <w:numId w:val="21"/>
        </w:numPr>
      </w:pPr>
      <w:r>
        <w:t>to assist the Project Co-Directors and their teams in the development and execution of the Project.</w:t>
      </w:r>
    </w:p>
    <w:p w:rsidR="0015500F" w:rsidRDefault="0015500F" w:rsidP="0015500F">
      <w:pPr>
        <w:pStyle w:val="Body"/>
        <w:numPr>
          <w:ilvl w:val="0"/>
          <w:numId w:val="21"/>
        </w:numPr>
      </w:pPr>
      <w:r>
        <w:t>These dual responsibilities need not be in conflict. The Consultant is expected to be open, candid and objective in his dealings with the Project and to show a mentor's interest in the individuals involved and their issues. In addition, all written communications from the Consultant will be sent both to Project Co-Directors and to the SPS Projects Office.</w:t>
      </w:r>
    </w:p>
    <w:p w:rsidR="0015500F" w:rsidRDefault="0015500F" w:rsidP="0015500F">
      <w:pPr>
        <w:pStyle w:val="Body"/>
        <w:numPr>
          <w:ilvl w:val="0"/>
          <w:numId w:val="21"/>
        </w:numPr>
        <w:spacing w:after="60"/>
        <w:ind w:hanging="357"/>
      </w:pPr>
      <w:r>
        <w:t>The Consultant shall:</w:t>
      </w:r>
    </w:p>
    <w:p w:rsidR="0015500F" w:rsidRDefault="0015500F" w:rsidP="0015500F">
      <w:pPr>
        <w:pStyle w:val="Body"/>
        <w:numPr>
          <w:ilvl w:val="1"/>
          <w:numId w:val="21"/>
        </w:numPr>
        <w:spacing w:after="60"/>
        <w:ind w:hanging="357"/>
      </w:pPr>
      <w:r>
        <w:t>be a recognised expert in the science and/or technology field of the Project. He/she shall have access, when needed, to other specialists who may be asked for advice;</w:t>
      </w:r>
    </w:p>
    <w:p w:rsidR="0015500F" w:rsidRDefault="0015500F" w:rsidP="0015500F">
      <w:pPr>
        <w:pStyle w:val="Body"/>
        <w:numPr>
          <w:ilvl w:val="1"/>
          <w:numId w:val="21"/>
        </w:numPr>
        <w:spacing w:after="60"/>
        <w:ind w:hanging="357"/>
      </w:pPr>
      <w:r>
        <w:t>have experience in the organisation and management of applied R&amp;D projects;</w:t>
      </w:r>
    </w:p>
    <w:p w:rsidR="0015500F" w:rsidRDefault="0015500F" w:rsidP="0015500F">
      <w:pPr>
        <w:pStyle w:val="Body"/>
        <w:numPr>
          <w:ilvl w:val="1"/>
          <w:numId w:val="21"/>
        </w:numPr>
        <w:spacing w:after="60"/>
        <w:ind w:hanging="357"/>
      </w:pPr>
      <w:r>
        <w:t>actively promote the interest and participation in the Project by those entities that will use the project results (End Users);</w:t>
      </w:r>
    </w:p>
    <w:p w:rsidR="0015500F" w:rsidRDefault="0015500F" w:rsidP="0015500F">
      <w:pPr>
        <w:pStyle w:val="Body"/>
        <w:numPr>
          <w:ilvl w:val="1"/>
          <w:numId w:val="21"/>
        </w:numPr>
        <w:spacing w:after="60"/>
        <w:ind w:hanging="357"/>
      </w:pPr>
      <w:r>
        <w:t>have a fluent command English or French</w:t>
      </w:r>
      <w:r w:rsidR="00755FCD">
        <w:t xml:space="preserve"> as reports</w:t>
      </w:r>
      <w:r>
        <w:t xml:space="preserve"> must be prepared in </w:t>
      </w:r>
      <w:r w:rsidR="00755FCD">
        <w:t>one of these languages</w:t>
      </w:r>
      <w:r>
        <w:t>;</w:t>
      </w:r>
    </w:p>
    <w:p w:rsidR="0015500F" w:rsidRDefault="0015500F" w:rsidP="0015500F">
      <w:pPr>
        <w:pStyle w:val="Body"/>
        <w:numPr>
          <w:ilvl w:val="1"/>
          <w:numId w:val="21"/>
        </w:numPr>
        <w:spacing w:after="60"/>
        <w:ind w:hanging="357"/>
      </w:pPr>
      <w:r>
        <w:t>assist the Project Co-Directors in preparing the Project Plan and in presenting the Plan to the NATO ISEG;</w:t>
      </w:r>
    </w:p>
    <w:p w:rsidR="0015500F" w:rsidRDefault="00755FCD" w:rsidP="0015500F">
      <w:pPr>
        <w:pStyle w:val="Body"/>
        <w:numPr>
          <w:ilvl w:val="1"/>
          <w:numId w:val="21"/>
        </w:numPr>
        <w:spacing w:after="60"/>
        <w:ind w:hanging="357"/>
      </w:pPr>
      <w:r>
        <w:t>review</w:t>
      </w:r>
      <w:r w:rsidR="0015500F">
        <w:t xml:space="preserve"> the content of the Project's</w:t>
      </w:r>
      <w:r>
        <w:t xml:space="preserve"> six-monthly</w:t>
      </w:r>
      <w:r w:rsidR="0015500F">
        <w:t xml:space="preserve"> progress and financial reports</w:t>
      </w:r>
      <w:r>
        <w:t xml:space="preserve"> and provide comments to the SPS Projects Office</w:t>
      </w:r>
      <w:r w:rsidR="0015500F">
        <w:t>;</w:t>
      </w:r>
    </w:p>
    <w:p w:rsidR="0015500F" w:rsidRDefault="0015500F" w:rsidP="0015500F">
      <w:pPr>
        <w:pStyle w:val="Body"/>
        <w:numPr>
          <w:ilvl w:val="1"/>
          <w:numId w:val="21"/>
        </w:numPr>
        <w:spacing w:after="60"/>
        <w:ind w:hanging="357"/>
      </w:pPr>
      <w:r>
        <w:t>be available to meet with the Project Co-Directors at least once per year, preferably on the occasion of the project co-ordination meeting.</w:t>
      </w:r>
      <w:r w:rsidR="00F51C80">
        <w:t xml:space="preserve"> </w:t>
      </w:r>
      <w:r>
        <w:t xml:space="preserve">After such </w:t>
      </w:r>
      <w:r w:rsidR="00755FCD">
        <w:t xml:space="preserve">a </w:t>
      </w:r>
      <w:r>
        <w:t>visit</w:t>
      </w:r>
      <w:r w:rsidR="00755FCD">
        <w:t>,</w:t>
      </w:r>
      <w:r>
        <w:t xml:space="preserve"> the Consultant will complete </w:t>
      </w:r>
      <w:r w:rsidR="00755FCD">
        <w:t>an</w:t>
      </w:r>
      <w:r>
        <w:t xml:space="preserve"> SPS Mission Evaluation Report and send it to the SPS Projects Office;</w:t>
      </w:r>
    </w:p>
    <w:p w:rsidR="0015500F" w:rsidRDefault="00755FCD" w:rsidP="0015500F">
      <w:pPr>
        <w:pStyle w:val="Body"/>
        <w:numPr>
          <w:ilvl w:val="1"/>
          <w:numId w:val="21"/>
        </w:numPr>
        <w:spacing w:after="60"/>
        <w:ind w:hanging="357"/>
      </w:pPr>
      <w:r>
        <w:t>assist the Project Co-Director</w:t>
      </w:r>
      <w:r w:rsidR="0015500F">
        <w:t>s in identifying the needs for training abroad of Project personnel and assist in arranging training at his/her institute or other qualified centres in the NATO countries;</w:t>
      </w:r>
    </w:p>
    <w:p w:rsidR="0015500F" w:rsidRDefault="0015500F" w:rsidP="0015500F">
      <w:pPr>
        <w:pStyle w:val="Body"/>
        <w:numPr>
          <w:ilvl w:val="1"/>
          <w:numId w:val="21"/>
        </w:numPr>
        <w:spacing w:after="60"/>
        <w:ind w:hanging="357"/>
      </w:pPr>
      <w:r>
        <w:t>a</w:t>
      </w:r>
      <w:r w:rsidR="00755FCD">
        <w:t>dvise the Project Co-Directors</w:t>
      </w:r>
      <w:r>
        <w:t xml:space="preserve"> on the evaluation of competitive tenders for the purchase of major equipment;</w:t>
      </w:r>
    </w:p>
    <w:p w:rsidR="0015500F" w:rsidRDefault="0015500F" w:rsidP="0015500F">
      <w:pPr>
        <w:pStyle w:val="Body"/>
        <w:numPr>
          <w:ilvl w:val="1"/>
          <w:numId w:val="21"/>
        </w:numPr>
        <w:spacing w:after="60"/>
        <w:ind w:hanging="357"/>
      </w:pPr>
      <w:r>
        <w:t>on occasion, visit the laboratories and facilities of the institutions collaborating in the Project;</w:t>
      </w:r>
    </w:p>
    <w:p w:rsidR="0015500F" w:rsidRDefault="0015500F" w:rsidP="0015500F">
      <w:pPr>
        <w:pStyle w:val="Body"/>
        <w:numPr>
          <w:ilvl w:val="1"/>
          <w:numId w:val="21"/>
        </w:numPr>
      </w:pPr>
      <w:r>
        <w:t>undertake special activities as mutually agreed.</w:t>
      </w:r>
    </w:p>
    <w:p w:rsidR="0015500F" w:rsidRDefault="0015500F" w:rsidP="0015500F">
      <w:pPr>
        <w:pStyle w:val="Body"/>
        <w:numPr>
          <w:ilvl w:val="0"/>
          <w:numId w:val="21"/>
        </w:numPr>
      </w:pPr>
      <w:r>
        <w:t xml:space="preserve">NATO </w:t>
      </w:r>
      <w:r w:rsidR="00755FCD">
        <w:t>will</w:t>
      </w:r>
      <w:r>
        <w:t xml:space="preserve"> pay </w:t>
      </w:r>
      <w:r w:rsidR="00755FCD">
        <w:t xml:space="preserve">the </w:t>
      </w:r>
      <w:r>
        <w:t>travel expenses of the Consultant in accordance with NATO regulations and fixed per diem rates, plus a fee or honorarium as mutually agreed and specified in a contract between the Consultant and NATO. Such costs would be paid directly by NATO from a separate budget and would therefore not affect the Project budget.</w:t>
      </w:r>
    </w:p>
    <w:p w:rsidR="00227F17" w:rsidRDefault="00227F17" w:rsidP="00E47802">
      <w:pPr>
        <w:pStyle w:val="Responsefree"/>
        <w:sectPr w:rsidR="00227F17" w:rsidSect="00E6517E">
          <w:footnotePr>
            <w:numFmt w:val="chicago"/>
            <w:numRestart w:val="eachPage"/>
          </w:footnotePr>
          <w:pgSz w:w="12240" w:h="15840" w:code="1"/>
          <w:pgMar w:top="340" w:right="907" w:bottom="340" w:left="907" w:header="720" w:footer="720" w:gutter="0"/>
          <w:pgNumType w:start="1"/>
          <w:cols w:space="720"/>
          <w:titlePg/>
        </w:sectPr>
      </w:pPr>
    </w:p>
    <w:tbl>
      <w:tblPr>
        <w:tblW w:w="0" w:type="auto"/>
        <w:jc w:val="center"/>
        <w:tblInd w:w="108" w:type="dxa"/>
        <w:tblBorders>
          <w:bottom w:val="single" w:sz="4" w:space="0" w:color="auto"/>
        </w:tblBorders>
        <w:tblLayout w:type="fixed"/>
        <w:tblCellMar>
          <w:bottom w:w="142" w:type="dxa"/>
        </w:tblCellMar>
        <w:tblLook w:val="0000"/>
      </w:tblPr>
      <w:tblGrid>
        <w:gridCol w:w="993"/>
        <w:gridCol w:w="9355"/>
      </w:tblGrid>
      <w:tr w:rsidR="00227F17" w:rsidRPr="00ED3C77" w:rsidTr="00227F17">
        <w:trPr>
          <w:trHeight w:val="1881"/>
          <w:jc w:val="center"/>
        </w:trPr>
        <w:tc>
          <w:tcPr>
            <w:tcW w:w="993" w:type="dxa"/>
            <w:vAlign w:val="center"/>
          </w:tcPr>
          <w:p w:rsidR="00227F17" w:rsidRPr="00ED3C77" w:rsidRDefault="00227F17" w:rsidP="00227F17">
            <w:pPr>
              <w:jc w:val="center"/>
              <w:rPr>
                <w:b/>
                <w:bCs/>
              </w:rPr>
            </w:pPr>
            <w:bookmarkStart w:id="42" w:name="Annex6Schedule"/>
            <w:bookmarkEnd w:id="42"/>
            <w:r>
              <w:rPr>
                <w:b/>
                <w:bCs/>
                <w:noProof/>
                <w:lang w:val="en-US"/>
              </w:rPr>
              <w:drawing>
                <wp:inline distT="0" distB="0" distL="0" distR="0">
                  <wp:extent cx="581025" cy="1162050"/>
                  <wp:effectExtent l="19050" t="0" r="9525"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81025" cy="1162050"/>
                          </a:xfrm>
                          <a:prstGeom prst="rect">
                            <a:avLst/>
                          </a:prstGeom>
                          <a:noFill/>
                          <a:ln w="9525">
                            <a:noFill/>
                            <a:miter lim="800000"/>
                            <a:headEnd/>
                            <a:tailEnd/>
                          </a:ln>
                        </pic:spPr>
                      </pic:pic>
                    </a:graphicData>
                  </a:graphic>
                </wp:inline>
              </w:drawing>
            </w:r>
          </w:p>
        </w:tc>
        <w:tc>
          <w:tcPr>
            <w:tcW w:w="9355" w:type="dxa"/>
            <w:vAlign w:val="center"/>
          </w:tcPr>
          <w:p w:rsidR="00227F17" w:rsidRPr="00ED3C77" w:rsidRDefault="00227F17" w:rsidP="00227F17">
            <w:pPr>
              <w:spacing w:after="120"/>
              <w:jc w:val="center"/>
              <w:rPr>
                <w:b/>
                <w:bCs/>
                <w:color w:val="3487C8"/>
                <w:sz w:val="22"/>
                <w:szCs w:val="22"/>
              </w:rPr>
            </w:pPr>
            <w:r w:rsidRPr="00ED3C77">
              <w:rPr>
                <w:b/>
                <w:bCs/>
                <w:color w:val="3487C8"/>
                <w:sz w:val="22"/>
                <w:szCs w:val="22"/>
              </w:rPr>
              <w:t>Emerging Security Challenges Division</w:t>
            </w:r>
          </w:p>
          <w:p w:rsidR="00227F17" w:rsidRPr="00ED3C77" w:rsidRDefault="00227F17" w:rsidP="00227F17">
            <w:pPr>
              <w:spacing w:after="200"/>
              <w:jc w:val="center"/>
              <w:rPr>
                <w:b/>
                <w:bCs/>
                <w:color w:val="3487C8"/>
                <w:sz w:val="28"/>
                <w:szCs w:val="28"/>
              </w:rPr>
            </w:pPr>
            <w:r w:rsidRPr="00ED3C77">
              <w:rPr>
                <w:b/>
                <w:bCs/>
                <w:color w:val="3487C8"/>
                <w:sz w:val="28"/>
                <w:szCs w:val="28"/>
              </w:rPr>
              <w:t>Science for Peace and Security Programme</w:t>
            </w:r>
          </w:p>
          <w:p w:rsidR="00227F17" w:rsidRPr="00A81605" w:rsidRDefault="00227F17" w:rsidP="00227F17">
            <w:pPr>
              <w:jc w:val="center"/>
              <w:rPr>
                <w:rFonts w:ascii="Arial" w:hAnsi="Arial" w:cs="Arial"/>
                <w:b/>
                <w:sz w:val="28"/>
                <w:szCs w:val="28"/>
              </w:rPr>
            </w:pPr>
            <w:r w:rsidRPr="00F07247">
              <w:rPr>
                <w:rFonts w:ascii="Arial" w:hAnsi="Arial" w:cs="Arial"/>
                <w:b/>
                <w:bCs/>
                <w:color w:val="00408B"/>
                <w:sz w:val="28"/>
                <w:szCs w:val="28"/>
              </w:rPr>
              <w:t>Guidelines for Applicants</w:t>
            </w:r>
            <w:r>
              <w:rPr>
                <w:rFonts w:ascii="Arial" w:hAnsi="Arial" w:cs="Arial"/>
                <w:b/>
                <w:bCs/>
                <w:color w:val="00408B"/>
                <w:sz w:val="28"/>
                <w:szCs w:val="28"/>
              </w:rPr>
              <w:t xml:space="preserve"> – Project Plan</w:t>
            </w:r>
          </w:p>
          <w:p w:rsidR="00227F17" w:rsidRPr="00A81605" w:rsidRDefault="00227F17" w:rsidP="00227F17">
            <w:pPr>
              <w:pStyle w:val="Heading1"/>
              <w:spacing w:before="0"/>
              <w:jc w:val="center"/>
              <w:rPr>
                <w:sz w:val="28"/>
                <w:szCs w:val="28"/>
              </w:rPr>
            </w:pPr>
            <w:bookmarkStart w:id="43" w:name="_Toc341274833"/>
            <w:r w:rsidRPr="00A81605">
              <w:rPr>
                <w:sz w:val="28"/>
                <w:szCs w:val="28"/>
              </w:rPr>
              <w:t xml:space="preserve">ANNEX </w:t>
            </w:r>
            <w:r w:rsidR="004D7616">
              <w:rPr>
                <w:sz w:val="28"/>
                <w:szCs w:val="28"/>
              </w:rPr>
              <w:t>5</w:t>
            </w:r>
            <w:r w:rsidRPr="00A81605">
              <w:rPr>
                <w:sz w:val="28"/>
                <w:szCs w:val="28"/>
              </w:rPr>
              <w:t xml:space="preserve">: </w:t>
            </w:r>
            <w:r w:rsidR="001E0017">
              <w:rPr>
                <w:sz w:val="28"/>
                <w:szCs w:val="28"/>
              </w:rPr>
              <w:t>Example Schedule</w:t>
            </w:r>
            <w:bookmarkEnd w:id="43"/>
          </w:p>
          <w:p w:rsidR="00227F17" w:rsidRPr="00ED3C77" w:rsidRDefault="00227F17" w:rsidP="00227F17">
            <w:pPr>
              <w:jc w:val="center"/>
              <w:rPr>
                <w:b/>
                <w:bCs/>
              </w:rPr>
            </w:pPr>
            <w:r w:rsidRPr="00ED3C77">
              <w:rPr>
                <w:szCs w:val="18"/>
              </w:rPr>
              <w:t xml:space="preserve">NATO Emerging Security Challenges Division, SPS Programme, Bd. Léopold </w:t>
            </w:r>
            <w:smartTag w:uri="urn:schemas-microsoft-com:office:smarttags" w:element="stockticker">
              <w:r w:rsidRPr="00ED3C77">
                <w:rPr>
                  <w:szCs w:val="18"/>
                </w:rPr>
                <w:t>III</w:t>
              </w:r>
            </w:smartTag>
            <w:r w:rsidRPr="00ED3C77">
              <w:rPr>
                <w:szCs w:val="18"/>
              </w:rPr>
              <w:t xml:space="preserve">, </w:t>
            </w:r>
            <w:r w:rsidRPr="00ED3C77" w:rsidDel="00C17795">
              <w:rPr>
                <w:szCs w:val="18"/>
              </w:rPr>
              <w:t>B-</w:t>
            </w:r>
            <w:r w:rsidRPr="00ED3C77">
              <w:rPr>
                <w:szCs w:val="18"/>
              </w:rPr>
              <w:t>1110 Brussels, Belgium</w:t>
            </w:r>
          </w:p>
        </w:tc>
      </w:tr>
    </w:tbl>
    <w:p w:rsidR="00227F17" w:rsidRDefault="00227F17" w:rsidP="00B21C76">
      <w:pPr>
        <w:pStyle w:val="Spacer"/>
      </w:pPr>
    </w:p>
    <w:tbl>
      <w:tblPr>
        <w:tblW w:w="5000" w:type="pct"/>
        <w:tblLook w:val="04A0"/>
      </w:tblPr>
      <w:tblGrid>
        <w:gridCol w:w="317"/>
        <w:gridCol w:w="4240"/>
        <w:gridCol w:w="830"/>
        <w:gridCol w:w="827"/>
        <w:gridCol w:w="827"/>
        <w:gridCol w:w="954"/>
        <w:gridCol w:w="830"/>
        <w:gridCol w:w="1257"/>
        <w:gridCol w:w="830"/>
        <w:gridCol w:w="830"/>
        <w:gridCol w:w="831"/>
        <w:gridCol w:w="832"/>
        <w:gridCol w:w="839"/>
        <w:gridCol w:w="1132"/>
      </w:tblGrid>
      <w:tr w:rsidR="00227F17" w:rsidRPr="00227F17" w:rsidTr="008D394C">
        <w:trPr>
          <w:trHeight w:val="211"/>
        </w:trPr>
        <w:tc>
          <w:tcPr>
            <w:tcW w:w="95" w:type="pct"/>
            <w:tcBorders>
              <w:top w:val="single" w:sz="8" w:space="0" w:color="auto"/>
              <w:left w:val="single" w:sz="8" w:space="0" w:color="auto"/>
              <w:bottom w:val="nil"/>
              <w:right w:val="nil"/>
            </w:tcBorders>
            <w:shd w:val="clear" w:color="auto" w:fill="auto"/>
            <w:noWrap/>
            <w:vAlign w:val="center"/>
            <w:hideMark/>
          </w:tcPr>
          <w:p w:rsidR="00227F17" w:rsidRPr="00227F17" w:rsidRDefault="00227F17" w:rsidP="00B21C76">
            <w:pPr>
              <w:pStyle w:val="TableHead"/>
              <w:jc w:val="center"/>
              <w:rPr>
                <w:lang w:val="en-US"/>
              </w:rPr>
            </w:pPr>
          </w:p>
        </w:tc>
        <w:tc>
          <w:tcPr>
            <w:tcW w:w="1401" w:type="pct"/>
            <w:tcBorders>
              <w:top w:val="single" w:sz="8" w:space="0" w:color="auto"/>
              <w:left w:val="nil"/>
              <w:bottom w:val="nil"/>
              <w:right w:val="nil"/>
            </w:tcBorders>
            <w:shd w:val="clear" w:color="auto" w:fill="auto"/>
            <w:noWrap/>
            <w:vAlign w:val="center"/>
            <w:hideMark/>
          </w:tcPr>
          <w:p w:rsidR="00227F17" w:rsidRPr="00227F17" w:rsidRDefault="00227F17" w:rsidP="00B21C76">
            <w:pPr>
              <w:pStyle w:val="TableHead"/>
              <w:jc w:val="center"/>
              <w:rPr>
                <w:sz w:val="20"/>
                <w:lang w:val="en-US"/>
              </w:rPr>
            </w:pPr>
          </w:p>
        </w:tc>
        <w:tc>
          <w:tcPr>
            <w:tcW w:w="1168" w:type="pct"/>
            <w:gridSpan w:val="4"/>
            <w:tcBorders>
              <w:top w:val="single" w:sz="8" w:space="0" w:color="auto"/>
              <w:left w:val="single" w:sz="4" w:space="0" w:color="auto"/>
              <w:bottom w:val="single" w:sz="4" w:space="0" w:color="auto"/>
              <w:right w:val="single" w:sz="4" w:space="0" w:color="auto"/>
            </w:tcBorders>
            <w:shd w:val="clear" w:color="auto" w:fill="auto"/>
            <w:noWrap/>
            <w:vAlign w:val="center"/>
            <w:hideMark/>
          </w:tcPr>
          <w:p w:rsidR="00227F17" w:rsidRPr="00227F17" w:rsidRDefault="00227F17" w:rsidP="00B21C76">
            <w:pPr>
              <w:pStyle w:val="TableHead"/>
              <w:jc w:val="center"/>
              <w:rPr>
                <w:lang w:val="en-US"/>
              </w:rPr>
            </w:pPr>
            <w:r>
              <w:rPr>
                <w:lang w:val="en-US"/>
              </w:rPr>
              <w:t>Year1</w:t>
            </w:r>
          </w:p>
        </w:tc>
        <w:tc>
          <w:tcPr>
            <w:tcW w:w="1167" w:type="pct"/>
            <w:gridSpan w:val="4"/>
            <w:tcBorders>
              <w:top w:val="single" w:sz="8" w:space="0" w:color="auto"/>
              <w:left w:val="nil"/>
              <w:bottom w:val="single" w:sz="4" w:space="0" w:color="auto"/>
              <w:right w:val="single" w:sz="4" w:space="0" w:color="auto"/>
            </w:tcBorders>
            <w:shd w:val="clear" w:color="auto" w:fill="auto"/>
            <w:noWrap/>
            <w:vAlign w:val="center"/>
            <w:hideMark/>
          </w:tcPr>
          <w:p w:rsidR="00227F17" w:rsidRPr="00227F17" w:rsidRDefault="00227F17" w:rsidP="00B21C76">
            <w:pPr>
              <w:pStyle w:val="TableHead"/>
              <w:jc w:val="center"/>
              <w:rPr>
                <w:lang w:val="en-US"/>
              </w:rPr>
            </w:pPr>
            <w:r>
              <w:rPr>
                <w:lang w:val="en-US"/>
              </w:rPr>
              <w:t>Year2</w:t>
            </w:r>
          </w:p>
        </w:tc>
        <w:tc>
          <w:tcPr>
            <w:tcW w:w="1168" w:type="pct"/>
            <w:gridSpan w:val="4"/>
            <w:tcBorders>
              <w:top w:val="single" w:sz="8" w:space="0" w:color="auto"/>
              <w:left w:val="nil"/>
              <w:bottom w:val="single" w:sz="4" w:space="0" w:color="auto"/>
              <w:right w:val="single" w:sz="4" w:space="0" w:color="auto"/>
            </w:tcBorders>
            <w:shd w:val="clear" w:color="auto" w:fill="auto"/>
            <w:noWrap/>
            <w:vAlign w:val="center"/>
            <w:hideMark/>
          </w:tcPr>
          <w:p w:rsidR="00227F17" w:rsidRPr="00227F17" w:rsidRDefault="00227F17" w:rsidP="00B21C76">
            <w:pPr>
              <w:pStyle w:val="TableHead"/>
              <w:jc w:val="center"/>
              <w:rPr>
                <w:lang w:val="en-US"/>
              </w:rPr>
            </w:pPr>
            <w:r>
              <w:rPr>
                <w:lang w:val="en-US"/>
              </w:rPr>
              <w:t>Year3</w:t>
            </w:r>
          </w:p>
        </w:tc>
      </w:tr>
      <w:tr w:rsidR="00227F17" w:rsidRPr="00227F17" w:rsidTr="008D394C">
        <w:trPr>
          <w:trHeight w:val="240"/>
        </w:trPr>
        <w:tc>
          <w:tcPr>
            <w:tcW w:w="95" w:type="pct"/>
            <w:tcBorders>
              <w:top w:val="single" w:sz="8" w:space="0" w:color="auto"/>
              <w:left w:val="single" w:sz="8" w:space="0" w:color="auto"/>
              <w:bottom w:val="nil"/>
              <w:right w:val="nil"/>
            </w:tcBorders>
            <w:shd w:val="clear" w:color="auto" w:fill="auto"/>
            <w:noWrap/>
            <w:vAlign w:val="center"/>
            <w:hideMark/>
          </w:tcPr>
          <w:p w:rsidR="00227F17" w:rsidRPr="00227F17" w:rsidRDefault="00227F17" w:rsidP="00B21C76">
            <w:pPr>
              <w:pStyle w:val="TableHead"/>
              <w:jc w:val="center"/>
              <w:rPr>
                <w:lang w:val="en-US"/>
              </w:rPr>
            </w:pPr>
          </w:p>
        </w:tc>
        <w:tc>
          <w:tcPr>
            <w:tcW w:w="1401" w:type="pct"/>
            <w:tcBorders>
              <w:top w:val="single" w:sz="8" w:space="0" w:color="auto"/>
              <w:left w:val="nil"/>
              <w:bottom w:val="nil"/>
              <w:right w:val="nil"/>
            </w:tcBorders>
            <w:shd w:val="clear" w:color="auto" w:fill="auto"/>
            <w:noWrap/>
            <w:vAlign w:val="center"/>
            <w:hideMark/>
          </w:tcPr>
          <w:p w:rsidR="00227F17" w:rsidRPr="00227F17" w:rsidRDefault="00227F17" w:rsidP="00B21C76">
            <w:pPr>
              <w:pStyle w:val="TableHead"/>
              <w:jc w:val="right"/>
              <w:rPr>
                <w:lang w:val="en-US"/>
              </w:rPr>
            </w:pPr>
            <w:r w:rsidRPr="00227F17">
              <w:rPr>
                <w:lang w:val="en-US"/>
              </w:rPr>
              <w:t>Month:</w:t>
            </w:r>
          </w:p>
        </w:tc>
        <w:tc>
          <w:tcPr>
            <w:tcW w:w="292" w:type="pct"/>
            <w:tcBorders>
              <w:top w:val="single" w:sz="8" w:space="0" w:color="auto"/>
              <w:left w:val="single" w:sz="4" w:space="0" w:color="auto"/>
              <w:bottom w:val="single" w:sz="4" w:space="0" w:color="auto"/>
              <w:right w:val="single" w:sz="4" w:space="0" w:color="auto"/>
            </w:tcBorders>
            <w:shd w:val="clear" w:color="auto" w:fill="auto"/>
            <w:noWrap/>
            <w:vAlign w:val="bottom"/>
            <w:hideMark/>
          </w:tcPr>
          <w:p w:rsidR="00227F17" w:rsidRPr="00227F17" w:rsidRDefault="00227F17" w:rsidP="004C5071">
            <w:pPr>
              <w:pStyle w:val="TableHead"/>
              <w:jc w:val="center"/>
              <w:rPr>
                <w:lang w:val="en-US"/>
              </w:rPr>
            </w:pPr>
            <w:r w:rsidRPr="00227F17">
              <w:rPr>
                <w:lang w:val="en-US"/>
              </w:rPr>
              <w:t>1-2-3</w:t>
            </w:r>
          </w:p>
        </w:tc>
        <w:tc>
          <w:tcPr>
            <w:tcW w:w="291" w:type="pct"/>
            <w:tcBorders>
              <w:top w:val="single" w:sz="8" w:space="0" w:color="auto"/>
              <w:left w:val="nil"/>
              <w:bottom w:val="single" w:sz="4" w:space="0" w:color="auto"/>
              <w:right w:val="single" w:sz="4" w:space="0" w:color="auto"/>
            </w:tcBorders>
            <w:shd w:val="clear" w:color="auto" w:fill="auto"/>
            <w:noWrap/>
            <w:vAlign w:val="bottom"/>
            <w:hideMark/>
          </w:tcPr>
          <w:p w:rsidR="00227F17" w:rsidRPr="00227F17" w:rsidRDefault="00227F17" w:rsidP="004C5071">
            <w:pPr>
              <w:pStyle w:val="TableHead"/>
              <w:jc w:val="center"/>
              <w:rPr>
                <w:lang w:val="en-US"/>
              </w:rPr>
            </w:pPr>
            <w:r w:rsidRPr="00227F17">
              <w:rPr>
                <w:lang w:val="en-US"/>
              </w:rPr>
              <w:t>4-5-6</w:t>
            </w:r>
          </w:p>
        </w:tc>
        <w:tc>
          <w:tcPr>
            <w:tcW w:w="291" w:type="pct"/>
            <w:tcBorders>
              <w:top w:val="single" w:sz="8" w:space="0" w:color="auto"/>
              <w:left w:val="nil"/>
              <w:bottom w:val="single" w:sz="4" w:space="0" w:color="auto"/>
              <w:right w:val="single" w:sz="4" w:space="0" w:color="auto"/>
            </w:tcBorders>
            <w:shd w:val="clear" w:color="auto" w:fill="auto"/>
            <w:noWrap/>
            <w:vAlign w:val="bottom"/>
            <w:hideMark/>
          </w:tcPr>
          <w:p w:rsidR="00227F17" w:rsidRPr="00227F17" w:rsidRDefault="00227F17" w:rsidP="004C5071">
            <w:pPr>
              <w:pStyle w:val="TableHead"/>
              <w:jc w:val="center"/>
              <w:rPr>
                <w:lang w:val="en-US"/>
              </w:rPr>
            </w:pPr>
            <w:r w:rsidRPr="00227F17">
              <w:rPr>
                <w:lang w:val="en-US"/>
              </w:rPr>
              <w:t>7-8-9</w:t>
            </w:r>
          </w:p>
        </w:tc>
        <w:tc>
          <w:tcPr>
            <w:tcW w:w="292" w:type="pct"/>
            <w:tcBorders>
              <w:top w:val="single" w:sz="8" w:space="0" w:color="auto"/>
              <w:left w:val="nil"/>
              <w:bottom w:val="single" w:sz="4" w:space="0" w:color="auto"/>
              <w:right w:val="single" w:sz="4" w:space="0" w:color="auto"/>
            </w:tcBorders>
            <w:shd w:val="clear" w:color="auto" w:fill="auto"/>
            <w:noWrap/>
            <w:vAlign w:val="bottom"/>
            <w:hideMark/>
          </w:tcPr>
          <w:p w:rsidR="00227F17" w:rsidRPr="00227F17" w:rsidRDefault="00227F17" w:rsidP="004C5071">
            <w:pPr>
              <w:pStyle w:val="TableHead"/>
              <w:ind w:left="-100" w:right="-111"/>
              <w:jc w:val="center"/>
              <w:rPr>
                <w:lang w:val="en-US"/>
              </w:rPr>
            </w:pPr>
            <w:r w:rsidRPr="00227F17">
              <w:rPr>
                <w:lang w:val="en-US"/>
              </w:rPr>
              <w:t>10-11-12</w:t>
            </w:r>
          </w:p>
        </w:tc>
        <w:tc>
          <w:tcPr>
            <w:tcW w:w="292" w:type="pct"/>
            <w:tcBorders>
              <w:top w:val="single" w:sz="8" w:space="0" w:color="auto"/>
              <w:left w:val="nil"/>
              <w:bottom w:val="single" w:sz="4" w:space="0" w:color="auto"/>
              <w:right w:val="single" w:sz="4" w:space="0" w:color="auto"/>
            </w:tcBorders>
            <w:shd w:val="clear" w:color="auto" w:fill="auto"/>
            <w:noWrap/>
            <w:vAlign w:val="bottom"/>
            <w:hideMark/>
          </w:tcPr>
          <w:p w:rsidR="00227F17" w:rsidRPr="00227F17" w:rsidRDefault="00227F17" w:rsidP="004C5071">
            <w:pPr>
              <w:pStyle w:val="TableHead"/>
              <w:jc w:val="center"/>
              <w:rPr>
                <w:lang w:val="en-US"/>
              </w:rPr>
            </w:pPr>
            <w:r w:rsidRPr="00227F17">
              <w:rPr>
                <w:lang w:val="en-US"/>
              </w:rPr>
              <w:t>1-2-3</w:t>
            </w:r>
          </w:p>
        </w:tc>
        <w:tc>
          <w:tcPr>
            <w:tcW w:w="292" w:type="pct"/>
            <w:tcBorders>
              <w:top w:val="single" w:sz="8" w:space="0" w:color="auto"/>
              <w:left w:val="nil"/>
              <w:bottom w:val="single" w:sz="4" w:space="0" w:color="auto"/>
              <w:right w:val="single" w:sz="4" w:space="0" w:color="auto"/>
            </w:tcBorders>
            <w:shd w:val="clear" w:color="auto" w:fill="auto"/>
            <w:noWrap/>
            <w:vAlign w:val="bottom"/>
            <w:hideMark/>
          </w:tcPr>
          <w:p w:rsidR="00227F17" w:rsidRPr="00227F17" w:rsidRDefault="00227F17" w:rsidP="004C5071">
            <w:pPr>
              <w:pStyle w:val="TableHead"/>
              <w:jc w:val="center"/>
              <w:rPr>
                <w:lang w:val="en-US"/>
              </w:rPr>
            </w:pPr>
            <w:r w:rsidRPr="00227F17">
              <w:rPr>
                <w:lang w:val="en-US"/>
              </w:rPr>
              <w:t>4-5-6</w:t>
            </w:r>
          </w:p>
        </w:tc>
        <w:tc>
          <w:tcPr>
            <w:tcW w:w="292" w:type="pct"/>
            <w:tcBorders>
              <w:top w:val="single" w:sz="8" w:space="0" w:color="auto"/>
              <w:left w:val="nil"/>
              <w:bottom w:val="single" w:sz="4" w:space="0" w:color="auto"/>
              <w:right w:val="single" w:sz="4" w:space="0" w:color="auto"/>
            </w:tcBorders>
            <w:shd w:val="clear" w:color="auto" w:fill="auto"/>
            <w:noWrap/>
            <w:vAlign w:val="bottom"/>
            <w:hideMark/>
          </w:tcPr>
          <w:p w:rsidR="00227F17" w:rsidRPr="00227F17" w:rsidRDefault="00227F17" w:rsidP="004C5071">
            <w:pPr>
              <w:pStyle w:val="TableHead"/>
              <w:jc w:val="center"/>
              <w:rPr>
                <w:lang w:val="en-US"/>
              </w:rPr>
            </w:pPr>
            <w:r w:rsidRPr="00227F17">
              <w:rPr>
                <w:lang w:val="en-US"/>
              </w:rPr>
              <w:t>7-8-9</w:t>
            </w:r>
          </w:p>
        </w:tc>
        <w:tc>
          <w:tcPr>
            <w:tcW w:w="292" w:type="pct"/>
            <w:tcBorders>
              <w:top w:val="single" w:sz="8" w:space="0" w:color="auto"/>
              <w:left w:val="nil"/>
              <w:bottom w:val="single" w:sz="4" w:space="0" w:color="auto"/>
              <w:right w:val="single" w:sz="4" w:space="0" w:color="auto"/>
            </w:tcBorders>
            <w:shd w:val="clear" w:color="auto" w:fill="auto"/>
            <w:noWrap/>
            <w:vAlign w:val="bottom"/>
            <w:hideMark/>
          </w:tcPr>
          <w:p w:rsidR="00227F17" w:rsidRPr="00227F17" w:rsidRDefault="00227F17" w:rsidP="004C5071">
            <w:pPr>
              <w:pStyle w:val="TableHead"/>
              <w:ind w:left="-117" w:right="-108"/>
              <w:jc w:val="center"/>
              <w:rPr>
                <w:lang w:val="en-US"/>
              </w:rPr>
            </w:pPr>
            <w:r w:rsidRPr="00227F17">
              <w:rPr>
                <w:lang w:val="en-US"/>
              </w:rPr>
              <w:t>10-11-12</w:t>
            </w:r>
          </w:p>
        </w:tc>
        <w:tc>
          <w:tcPr>
            <w:tcW w:w="292" w:type="pct"/>
            <w:tcBorders>
              <w:top w:val="single" w:sz="8" w:space="0" w:color="auto"/>
              <w:left w:val="nil"/>
              <w:bottom w:val="single" w:sz="4" w:space="0" w:color="auto"/>
              <w:right w:val="single" w:sz="4" w:space="0" w:color="auto"/>
            </w:tcBorders>
            <w:shd w:val="clear" w:color="auto" w:fill="auto"/>
            <w:noWrap/>
            <w:vAlign w:val="bottom"/>
            <w:hideMark/>
          </w:tcPr>
          <w:p w:rsidR="00227F17" w:rsidRPr="00227F17" w:rsidRDefault="00227F17" w:rsidP="004C5071">
            <w:pPr>
              <w:pStyle w:val="TableHead"/>
              <w:jc w:val="center"/>
              <w:rPr>
                <w:lang w:val="en-US"/>
              </w:rPr>
            </w:pPr>
            <w:r w:rsidRPr="00227F17">
              <w:rPr>
                <w:lang w:val="en-US"/>
              </w:rPr>
              <w:t>1-2-3</w:t>
            </w:r>
          </w:p>
        </w:tc>
        <w:tc>
          <w:tcPr>
            <w:tcW w:w="292" w:type="pct"/>
            <w:tcBorders>
              <w:top w:val="single" w:sz="8" w:space="0" w:color="auto"/>
              <w:left w:val="nil"/>
              <w:bottom w:val="single" w:sz="4" w:space="0" w:color="auto"/>
              <w:right w:val="single" w:sz="4" w:space="0" w:color="auto"/>
            </w:tcBorders>
            <w:shd w:val="clear" w:color="auto" w:fill="auto"/>
            <w:noWrap/>
            <w:vAlign w:val="bottom"/>
            <w:hideMark/>
          </w:tcPr>
          <w:p w:rsidR="00227F17" w:rsidRPr="00227F17" w:rsidRDefault="00227F17" w:rsidP="004C5071">
            <w:pPr>
              <w:pStyle w:val="TableHead"/>
              <w:jc w:val="center"/>
              <w:rPr>
                <w:lang w:val="en-US"/>
              </w:rPr>
            </w:pPr>
            <w:r w:rsidRPr="00227F17">
              <w:rPr>
                <w:lang w:val="en-US"/>
              </w:rPr>
              <w:t>4-5-6</w:t>
            </w:r>
          </w:p>
        </w:tc>
        <w:tc>
          <w:tcPr>
            <w:tcW w:w="292" w:type="pct"/>
            <w:tcBorders>
              <w:top w:val="single" w:sz="8" w:space="0" w:color="auto"/>
              <w:left w:val="nil"/>
              <w:bottom w:val="single" w:sz="4" w:space="0" w:color="auto"/>
              <w:right w:val="single" w:sz="4" w:space="0" w:color="auto"/>
            </w:tcBorders>
            <w:shd w:val="clear" w:color="auto" w:fill="auto"/>
            <w:noWrap/>
            <w:vAlign w:val="bottom"/>
            <w:hideMark/>
          </w:tcPr>
          <w:p w:rsidR="00227F17" w:rsidRPr="00227F17" w:rsidRDefault="00227F17" w:rsidP="004C5071">
            <w:pPr>
              <w:pStyle w:val="TableHead"/>
              <w:jc w:val="center"/>
              <w:rPr>
                <w:lang w:val="en-US"/>
              </w:rPr>
            </w:pPr>
            <w:r w:rsidRPr="00227F17">
              <w:rPr>
                <w:lang w:val="en-US"/>
              </w:rPr>
              <w:t>7-8-9</w:t>
            </w:r>
          </w:p>
        </w:tc>
        <w:tc>
          <w:tcPr>
            <w:tcW w:w="293" w:type="pct"/>
            <w:tcBorders>
              <w:top w:val="single" w:sz="8" w:space="0" w:color="auto"/>
              <w:left w:val="nil"/>
              <w:bottom w:val="single" w:sz="4" w:space="0" w:color="auto"/>
              <w:right w:val="single" w:sz="4" w:space="0" w:color="auto"/>
            </w:tcBorders>
            <w:shd w:val="clear" w:color="auto" w:fill="auto"/>
            <w:noWrap/>
            <w:vAlign w:val="bottom"/>
            <w:hideMark/>
          </w:tcPr>
          <w:p w:rsidR="00227F17" w:rsidRPr="00227F17" w:rsidRDefault="00227F17" w:rsidP="004C5071">
            <w:pPr>
              <w:pStyle w:val="TableHead"/>
              <w:ind w:left="-149" w:right="-128"/>
              <w:jc w:val="center"/>
              <w:rPr>
                <w:lang w:val="en-US"/>
              </w:rPr>
            </w:pPr>
            <w:r w:rsidRPr="00227F17">
              <w:rPr>
                <w:lang w:val="en-US"/>
              </w:rPr>
              <w:t>10-11-12</w:t>
            </w:r>
          </w:p>
        </w:tc>
      </w:tr>
      <w:tr w:rsidR="00227F17" w:rsidRPr="00227F17" w:rsidTr="008D394C">
        <w:trPr>
          <w:trHeight w:val="255"/>
        </w:trPr>
        <w:tc>
          <w:tcPr>
            <w:tcW w:w="95" w:type="pct"/>
            <w:tcBorders>
              <w:top w:val="nil"/>
              <w:left w:val="single" w:sz="8" w:space="0" w:color="auto"/>
              <w:bottom w:val="nil"/>
              <w:right w:val="nil"/>
            </w:tcBorders>
            <w:shd w:val="clear" w:color="auto" w:fill="auto"/>
            <w:noWrap/>
            <w:vAlign w:val="center"/>
            <w:hideMark/>
          </w:tcPr>
          <w:p w:rsidR="00227F17" w:rsidRPr="00227F17" w:rsidRDefault="00227F17" w:rsidP="00B21C76">
            <w:pPr>
              <w:ind w:left="-250" w:firstLine="250"/>
              <w:jc w:val="center"/>
              <w:rPr>
                <w:rFonts w:ascii="Arial" w:hAnsi="Arial" w:cs="Arial"/>
                <w:b/>
                <w:bCs/>
                <w:szCs w:val="18"/>
                <w:lang w:val="en-US"/>
              </w:rPr>
            </w:pPr>
          </w:p>
        </w:tc>
        <w:tc>
          <w:tcPr>
            <w:tcW w:w="1401" w:type="pct"/>
            <w:tcBorders>
              <w:top w:val="nil"/>
              <w:left w:val="nil"/>
              <w:bottom w:val="nil"/>
              <w:right w:val="nil"/>
            </w:tcBorders>
            <w:shd w:val="clear" w:color="auto" w:fill="auto"/>
            <w:vAlign w:val="center"/>
            <w:hideMark/>
          </w:tcPr>
          <w:p w:rsidR="00227F17" w:rsidRPr="00227F17" w:rsidRDefault="00227F17" w:rsidP="00B21C76">
            <w:pPr>
              <w:pStyle w:val="TableHead"/>
              <w:jc w:val="center"/>
              <w:rPr>
                <w:lang w:val="en-US"/>
              </w:rPr>
            </w:pPr>
            <w:r w:rsidRPr="00227F17">
              <w:rPr>
                <w:lang w:val="en-US"/>
              </w:rPr>
              <w:t>Milestone</w:t>
            </w:r>
          </w:p>
        </w:tc>
        <w:tc>
          <w:tcPr>
            <w:tcW w:w="292" w:type="pct"/>
            <w:tcBorders>
              <w:top w:val="nil"/>
              <w:left w:val="single" w:sz="4" w:space="0" w:color="auto"/>
              <w:bottom w:val="single" w:sz="4" w:space="0" w:color="auto"/>
              <w:right w:val="nil"/>
            </w:tcBorders>
            <w:shd w:val="clear" w:color="auto" w:fill="auto"/>
            <w:noWrap/>
            <w:vAlign w:val="bottom"/>
            <w:hideMark/>
          </w:tcPr>
          <w:p w:rsidR="00227F17" w:rsidRPr="00227F17" w:rsidRDefault="00227F17" w:rsidP="004C5071">
            <w:pPr>
              <w:ind w:left="-250" w:firstLine="250"/>
              <w:rPr>
                <w:rFonts w:ascii="Arial" w:hAnsi="Arial" w:cs="Arial"/>
                <w:sz w:val="20"/>
                <w:lang w:val="en-US"/>
              </w:rPr>
            </w:pPr>
          </w:p>
        </w:tc>
        <w:tc>
          <w:tcPr>
            <w:tcW w:w="291" w:type="pct"/>
            <w:tcBorders>
              <w:top w:val="nil"/>
              <w:left w:val="nil"/>
              <w:bottom w:val="single" w:sz="4" w:space="0" w:color="auto"/>
              <w:right w:val="nil"/>
            </w:tcBorders>
            <w:shd w:val="clear" w:color="auto" w:fill="auto"/>
            <w:noWrap/>
            <w:vAlign w:val="bottom"/>
            <w:hideMark/>
          </w:tcPr>
          <w:p w:rsidR="00227F17" w:rsidRPr="00227F17" w:rsidRDefault="00227F17" w:rsidP="004C5071">
            <w:pPr>
              <w:ind w:left="-250" w:firstLine="250"/>
              <w:rPr>
                <w:rFonts w:ascii="Arial" w:hAnsi="Arial" w:cs="Arial"/>
                <w:sz w:val="20"/>
                <w:lang w:val="en-US"/>
              </w:rPr>
            </w:pPr>
          </w:p>
        </w:tc>
        <w:tc>
          <w:tcPr>
            <w:tcW w:w="291" w:type="pct"/>
            <w:tcBorders>
              <w:top w:val="nil"/>
              <w:left w:val="nil"/>
              <w:bottom w:val="single" w:sz="4" w:space="0" w:color="auto"/>
              <w:right w:val="nil"/>
            </w:tcBorders>
            <w:shd w:val="clear" w:color="auto" w:fill="auto"/>
            <w:noWrap/>
            <w:vAlign w:val="bottom"/>
            <w:hideMark/>
          </w:tcPr>
          <w:p w:rsidR="00227F17" w:rsidRPr="00227F17" w:rsidRDefault="00227F17" w:rsidP="004C5071">
            <w:pPr>
              <w:ind w:left="-250" w:firstLine="250"/>
              <w:rPr>
                <w:rFonts w:ascii="Arial" w:hAnsi="Arial" w:cs="Arial"/>
                <w:sz w:val="20"/>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 w:val="20"/>
                <w:lang w:val="en-US"/>
              </w:rPr>
            </w:pPr>
          </w:p>
        </w:tc>
        <w:tc>
          <w:tcPr>
            <w:tcW w:w="292" w:type="pct"/>
            <w:tcBorders>
              <w:top w:val="nil"/>
              <w:left w:val="nil"/>
              <w:bottom w:val="single" w:sz="4" w:space="0" w:color="auto"/>
              <w:right w:val="nil"/>
            </w:tcBorders>
            <w:shd w:val="clear" w:color="auto" w:fill="auto"/>
            <w:noWrap/>
            <w:vAlign w:val="bottom"/>
            <w:hideMark/>
          </w:tcPr>
          <w:p w:rsidR="00227F17" w:rsidRPr="00227F17" w:rsidRDefault="00227F17" w:rsidP="004C5071">
            <w:pPr>
              <w:ind w:left="-250" w:firstLine="250"/>
              <w:rPr>
                <w:rFonts w:ascii="Arial" w:hAnsi="Arial" w:cs="Arial"/>
                <w:sz w:val="20"/>
                <w:lang w:val="en-US"/>
              </w:rPr>
            </w:pPr>
          </w:p>
        </w:tc>
        <w:tc>
          <w:tcPr>
            <w:tcW w:w="292" w:type="pct"/>
            <w:tcBorders>
              <w:top w:val="nil"/>
              <w:left w:val="nil"/>
              <w:bottom w:val="single" w:sz="4" w:space="0" w:color="auto"/>
              <w:right w:val="nil"/>
            </w:tcBorders>
            <w:shd w:val="clear" w:color="auto" w:fill="auto"/>
            <w:noWrap/>
            <w:vAlign w:val="bottom"/>
            <w:hideMark/>
          </w:tcPr>
          <w:p w:rsidR="00227F17" w:rsidRPr="00227F17" w:rsidRDefault="00227F17" w:rsidP="004C5071">
            <w:pPr>
              <w:ind w:left="-250" w:firstLine="250"/>
              <w:rPr>
                <w:rFonts w:ascii="Arial" w:hAnsi="Arial" w:cs="Arial"/>
                <w:sz w:val="20"/>
                <w:lang w:val="en-US"/>
              </w:rPr>
            </w:pPr>
          </w:p>
        </w:tc>
        <w:tc>
          <w:tcPr>
            <w:tcW w:w="292" w:type="pct"/>
            <w:tcBorders>
              <w:top w:val="nil"/>
              <w:left w:val="nil"/>
              <w:bottom w:val="single" w:sz="4" w:space="0" w:color="auto"/>
              <w:right w:val="nil"/>
            </w:tcBorders>
            <w:shd w:val="clear" w:color="auto" w:fill="auto"/>
            <w:noWrap/>
            <w:vAlign w:val="bottom"/>
            <w:hideMark/>
          </w:tcPr>
          <w:p w:rsidR="00227F17" w:rsidRPr="00227F17" w:rsidRDefault="00227F17" w:rsidP="004C5071">
            <w:pPr>
              <w:ind w:left="-250" w:firstLine="250"/>
              <w:rPr>
                <w:rFonts w:ascii="Arial" w:hAnsi="Arial" w:cs="Arial"/>
                <w:sz w:val="20"/>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 w:val="20"/>
                <w:lang w:val="en-US"/>
              </w:rPr>
            </w:pPr>
          </w:p>
        </w:tc>
        <w:tc>
          <w:tcPr>
            <w:tcW w:w="292" w:type="pct"/>
            <w:tcBorders>
              <w:top w:val="nil"/>
              <w:left w:val="nil"/>
              <w:bottom w:val="single" w:sz="4" w:space="0" w:color="auto"/>
              <w:right w:val="nil"/>
            </w:tcBorders>
            <w:shd w:val="clear" w:color="auto" w:fill="auto"/>
            <w:noWrap/>
            <w:vAlign w:val="bottom"/>
            <w:hideMark/>
          </w:tcPr>
          <w:p w:rsidR="00227F17" w:rsidRPr="00227F17" w:rsidRDefault="00227F17" w:rsidP="004C5071">
            <w:pPr>
              <w:ind w:left="-250" w:firstLine="250"/>
              <w:rPr>
                <w:rFonts w:ascii="Arial" w:hAnsi="Arial" w:cs="Arial"/>
                <w:sz w:val="20"/>
                <w:lang w:val="en-US"/>
              </w:rPr>
            </w:pPr>
          </w:p>
        </w:tc>
        <w:tc>
          <w:tcPr>
            <w:tcW w:w="292" w:type="pct"/>
            <w:tcBorders>
              <w:top w:val="nil"/>
              <w:left w:val="nil"/>
              <w:bottom w:val="single" w:sz="4" w:space="0" w:color="auto"/>
              <w:right w:val="nil"/>
            </w:tcBorders>
            <w:shd w:val="clear" w:color="auto" w:fill="auto"/>
            <w:noWrap/>
            <w:vAlign w:val="bottom"/>
            <w:hideMark/>
          </w:tcPr>
          <w:p w:rsidR="00227F17" w:rsidRPr="00227F17" w:rsidRDefault="00227F17" w:rsidP="004C5071">
            <w:pPr>
              <w:ind w:left="-250" w:firstLine="250"/>
              <w:rPr>
                <w:rFonts w:ascii="Arial" w:hAnsi="Arial" w:cs="Arial"/>
                <w:sz w:val="20"/>
                <w:lang w:val="en-US"/>
              </w:rPr>
            </w:pPr>
          </w:p>
        </w:tc>
        <w:tc>
          <w:tcPr>
            <w:tcW w:w="292" w:type="pct"/>
            <w:tcBorders>
              <w:top w:val="nil"/>
              <w:left w:val="nil"/>
              <w:bottom w:val="single" w:sz="4" w:space="0" w:color="auto"/>
              <w:right w:val="nil"/>
            </w:tcBorders>
            <w:shd w:val="clear" w:color="auto" w:fill="auto"/>
            <w:noWrap/>
            <w:vAlign w:val="bottom"/>
            <w:hideMark/>
          </w:tcPr>
          <w:p w:rsidR="00227F17" w:rsidRPr="00227F17" w:rsidRDefault="00227F17" w:rsidP="004C5071">
            <w:pPr>
              <w:ind w:left="-250" w:firstLine="250"/>
              <w:rPr>
                <w:rFonts w:ascii="Arial" w:hAnsi="Arial" w:cs="Arial"/>
                <w:sz w:val="20"/>
                <w:lang w:val="en-US"/>
              </w:rPr>
            </w:pPr>
          </w:p>
        </w:tc>
        <w:tc>
          <w:tcPr>
            <w:tcW w:w="293"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 w:val="20"/>
                <w:lang w:val="en-US"/>
              </w:rPr>
            </w:pPr>
          </w:p>
        </w:tc>
      </w:tr>
      <w:tr w:rsidR="00227F17" w:rsidRPr="00227F17" w:rsidTr="008D394C">
        <w:trPr>
          <w:trHeight w:val="240"/>
        </w:trPr>
        <w:tc>
          <w:tcPr>
            <w:tcW w:w="95"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27F17" w:rsidRPr="00227F17" w:rsidRDefault="00B21C76" w:rsidP="00B21C76">
            <w:pPr>
              <w:pStyle w:val="TableHead"/>
              <w:jc w:val="center"/>
              <w:rPr>
                <w:lang w:val="en-US"/>
              </w:rPr>
            </w:pPr>
            <w:r>
              <w:rPr>
                <w:lang w:val="en-US"/>
              </w:rPr>
              <w:t>1</w:t>
            </w:r>
          </w:p>
        </w:tc>
        <w:tc>
          <w:tcPr>
            <w:tcW w:w="1401" w:type="pct"/>
            <w:tcBorders>
              <w:top w:val="single" w:sz="4" w:space="0" w:color="auto"/>
              <w:left w:val="nil"/>
              <w:bottom w:val="single" w:sz="4" w:space="0" w:color="auto"/>
              <w:right w:val="single" w:sz="4" w:space="0" w:color="auto"/>
            </w:tcBorders>
            <w:shd w:val="clear" w:color="auto" w:fill="auto"/>
            <w:vAlign w:val="center"/>
            <w:hideMark/>
          </w:tcPr>
          <w:p w:rsidR="00227F17" w:rsidRPr="00227F17" w:rsidRDefault="00227F17" w:rsidP="00B21C76">
            <w:pPr>
              <w:pStyle w:val="TableHead"/>
              <w:rPr>
                <w:lang w:val="en-US"/>
              </w:rPr>
            </w:pPr>
            <w:r w:rsidRPr="00227F17">
              <w:rPr>
                <w:lang w:val="en-US"/>
              </w:rPr>
              <w:t>LCD</w:t>
            </w:r>
            <w:r w:rsidR="004C5071">
              <w:rPr>
                <w:lang w:val="en-US"/>
              </w:rPr>
              <w:t xml:space="preserve"> a</w:t>
            </w:r>
            <w:r w:rsidRPr="00227F17">
              <w:rPr>
                <w:lang w:val="en-US"/>
              </w:rPr>
              <w:t>nalysis</w:t>
            </w:r>
          </w:p>
        </w:tc>
        <w:tc>
          <w:tcPr>
            <w:tcW w:w="292" w:type="pct"/>
            <w:tcBorders>
              <w:top w:val="nil"/>
              <w:left w:val="nil"/>
              <w:bottom w:val="single" w:sz="4" w:space="0" w:color="auto"/>
              <w:right w:val="single" w:sz="4" w:space="0" w:color="auto"/>
            </w:tcBorders>
            <w:shd w:val="thinReverseDiagStripe" w:color="000000" w:fill="auto"/>
            <w:noWrap/>
            <w:vAlign w:val="bottom"/>
            <w:hideMark/>
          </w:tcPr>
          <w:p w:rsidR="00227F17" w:rsidRPr="00227F17" w:rsidRDefault="00227F17" w:rsidP="004C5071">
            <w:pPr>
              <w:ind w:left="-250" w:firstLine="250"/>
              <w:rPr>
                <w:rFonts w:ascii="Arial" w:hAnsi="Arial" w:cs="Arial"/>
                <w:color w:val="E3E3E3"/>
                <w:szCs w:val="18"/>
                <w:lang w:val="en-US"/>
              </w:rPr>
            </w:pPr>
          </w:p>
        </w:tc>
        <w:tc>
          <w:tcPr>
            <w:tcW w:w="291" w:type="pct"/>
            <w:tcBorders>
              <w:top w:val="nil"/>
              <w:left w:val="nil"/>
              <w:bottom w:val="single" w:sz="4" w:space="0" w:color="auto"/>
              <w:right w:val="single" w:sz="4" w:space="0" w:color="auto"/>
            </w:tcBorders>
            <w:shd w:val="thinReverseDiagStripe" w:color="000000" w:fill="auto"/>
            <w:noWrap/>
            <w:vAlign w:val="bottom"/>
            <w:hideMark/>
          </w:tcPr>
          <w:p w:rsidR="00227F17" w:rsidRPr="00227F17" w:rsidRDefault="00227F17" w:rsidP="004C5071">
            <w:pPr>
              <w:ind w:left="-250" w:firstLine="250"/>
              <w:rPr>
                <w:rFonts w:ascii="Arial" w:hAnsi="Arial" w:cs="Arial"/>
                <w:color w:val="E3E3E3"/>
                <w:szCs w:val="18"/>
                <w:lang w:val="en-US"/>
              </w:rPr>
            </w:pPr>
          </w:p>
        </w:tc>
        <w:tc>
          <w:tcPr>
            <w:tcW w:w="291" w:type="pct"/>
            <w:tcBorders>
              <w:top w:val="nil"/>
              <w:left w:val="nil"/>
              <w:bottom w:val="single" w:sz="4" w:space="0" w:color="auto"/>
              <w:right w:val="single" w:sz="4" w:space="0" w:color="auto"/>
            </w:tcBorders>
            <w:shd w:val="thinReverseDiagStripe" w:color="000000" w:fill="auto"/>
            <w:noWrap/>
            <w:vAlign w:val="bottom"/>
            <w:hideMark/>
          </w:tcPr>
          <w:p w:rsidR="00227F17" w:rsidRPr="00227F17" w:rsidRDefault="00227F17" w:rsidP="004C5071">
            <w:pPr>
              <w:ind w:left="-250" w:firstLine="250"/>
              <w:rPr>
                <w:rFonts w:ascii="Arial" w:hAnsi="Arial" w:cs="Arial"/>
                <w:color w:val="E3E3E3"/>
                <w:szCs w:val="18"/>
                <w:lang w:val="en-US"/>
              </w:rPr>
            </w:pPr>
          </w:p>
        </w:tc>
        <w:tc>
          <w:tcPr>
            <w:tcW w:w="292" w:type="pct"/>
            <w:tcBorders>
              <w:top w:val="nil"/>
              <w:left w:val="nil"/>
              <w:bottom w:val="single" w:sz="4" w:space="0" w:color="auto"/>
              <w:right w:val="single" w:sz="4" w:space="0" w:color="auto"/>
            </w:tcBorders>
            <w:shd w:val="thinReverseDiagStripe" w:color="000000" w:fill="auto"/>
            <w:noWrap/>
            <w:vAlign w:val="bottom"/>
            <w:hideMark/>
          </w:tcPr>
          <w:p w:rsidR="00227F17" w:rsidRPr="00227F17" w:rsidRDefault="00227F17" w:rsidP="004C5071">
            <w:pPr>
              <w:ind w:left="-250" w:firstLine="250"/>
              <w:rPr>
                <w:rFonts w:ascii="Arial" w:hAnsi="Arial" w:cs="Arial"/>
                <w:color w:val="E3E3E3"/>
                <w:szCs w:val="18"/>
                <w:lang w:val="en-US"/>
              </w:rPr>
            </w:pPr>
          </w:p>
        </w:tc>
        <w:tc>
          <w:tcPr>
            <w:tcW w:w="292" w:type="pct"/>
            <w:tcBorders>
              <w:top w:val="nil"/>
              <w:left w:val="nil"/>
              <w:bottom w:val="single" w:sz="4" w:space="0" w:color="auto"/>
              <w:right w:val="single" w:sz="4" w:space="0" w:color="auto"/>
            </w:tcBorders>
            <w:shd w:val="thinReverseDiagStripe" w:color="000000" w:fill="auto"/>
            <w:noWrap/>
            <w:vAlign w:val="bottom"/>
            <w:hideMark/>
          </w:tcPr>
          <w:p w:rsidR="00227F17" w:rsidRPr="00227F17" w:rsidRDefault="00227F17" w:rsidP="004C5071">
            <w:pPr>
              <w:ind w:left="-250" w:firstLine="250"/>
              <w:rPr>
                <w:rFonts w:ascii="Arial" w:hAnsi="Arial" w:cs="Arial"/>
                <w:color w:val="E3E3E3"/>
                <w:szCs w:val="18"/>
                <w:lang w:val="en-US"/>
              </w:rPr>
            </w:pPr>
          </w:p>
        </w:tc>
        <w:tc>
          <w:tcPr>
            <w:tcW w:w="292" w:type="pct"/>
            <w:tcBorders>
              <w:top w:val="nil"/>
              <w:left w:val="nil"/>
              <w:bottom w:val="single" w:sz="4" w:space="0" w:color="auto"/>
              <w:right w:val="single" w:sz="4" w:space="0" w:color="auto"/>
            </w:tcBorders>
            <w:shd w:val="thinReverseDiagStripe" w:color="000000" w:fill="auto"/>
            <w:noWrap/>
            <w:vAlign w:val="bottom"/>
            <w:hideMark/>
          </w:tcPr>
          <w:p w:rsidR="00227F17" w:rsidRPr="00227F17" w:rsidRDefault="00227F17" w:rsidP="004C5071">
            <w:pPr>
              <w:ind w:left="-250" w:firstLine="250"/>
              <w:rPr>
                <w:rFonts w:ascii="Arial" w:hAnsi="Arial" w:cs="Arial"/>
                <w:color w:val="E3E3E3"/>
                <w:szCs w:val="18"/>
                <w:lang w:val="en-US"/>
              </w:rPr>
            </w:pPr>
          </w:p>
        </w:tc>
        <w:tc>
          <w:tcPr>
            <w:tcW w:w="292" w:type="pct"/>
            <w:tcBorders>
              <w:top w:val="nil"/>
              <w:left w:val="nil"/>
              <w:bottom w:val="single" w:sz="4" w:space="0" w:color="auto"/>
              <w:right w:val="single" w:sz="4" w:space="0" w:color="auto"/>
            </w:tcBorders>
            <w:shd w:val="thinReverseDiagStripe" w:color="000000" w:fill="auto"/>
            <w:noWrap/>
            <w:vAlign w:val="bottom"/>
            <w:hideMark/>
          </w:tcPr>
          <w:p w:rsidR="00227F17" w:rsidRPr="00227F17" w:rsidRDefault="00227F17" w:rsidP="004C5071">
            <w:pPr>
              <w:ind w:left="-250" w:firstLine="250"/>
              <w:rPr>
                <w:rFonts w:ascii="Arial" w:hAnsi="Arial" w:cs="Arial"/>
                <w:color w:val="E3E3E3"/>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3"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r>
      <w:tr w:rsidR="00227F17" w:rsidRPr="00227F17" w:rsidTr="008D394C">
        <w:trPr>
          <w:trHeight w:val="57"/>
        </w:trPr>
        <w:tc>
          <w:tcPr>
            <w:tcW w:w="95" w:type="pct"/>
            <w:tcBorders>
              <w:top w:val="nil"/>
              <w:left w:val="single" w:sz="8" w:space="0" w:color="auto"/>
              <w:bottom w:val="nil"/>
              <w:right w:val="nil"/>
            </w:tcBorders>
            <w:shd w:val="clear" w:color="auto" w:fill="auto"/>
            <w:noWrap/>
            <w:vAlign w:val="center"/>
            <w:hideMark/>
          </w:tcPr>
          <w:p w:rsidR="00227F17" w:rsidRPr="00227F17" w:rsidRDefault="00227F17" w:rsidP="00B21C76">
            <w:pPr>
              <w:pStyle w:val="TableHead"/>
              <w:jc w:val="center"/>
              <w:rPr>
                <w:lang w:val="en-US"/>
              </w:rPr>
            </w:pPr>
          </w:p>
        </w:tc>
        <w:tc>
          <w:tcPr>
            <w:tcW w:w="1401" w:type="pct"/>
            <w:tcBorders>
              <w:top w:val="nil"/>
              <w:left w:val="nil"/>
              <w:bottom w:val="nil"/>
              <w:right w:val="nil"/>
            </w:tcBorders>
            <w:shd w:val="clear" w:color="auto" w:fill="auto"/>
            <w:vAlign w:val="center"/>
            <w:hideMark/>
          </w:tcPr>
          <w:p w:rsidR="00227F17" w:rsidRPr="00227F17" w:rsidRDefault="00227F17" w:rsidP="00B21C76">
            <w:pPr>
              <w:pStyle w:val="TableHead"/>
              <w:rPr>
                <w:lang w:val="en-US"/>
              </w:rPr>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1" w:type="pct"/>
            <w:tcBorders>
              <w:top w:val="single" w:sz="4" w:space="0" w:color="auto"/>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1" w:type="pct"/>
            <w:tcBorders>
              <w:top w:val="single" w:sz="4" w:space="0" w:color="auto"/>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single" w:sz="4" w:space="0" w:color="auto"/>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nil"/>
              <w:right w:val="nil"/>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nil"/>
              <w:right w:val="nil"/>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nil"/>
              <w:right w:val="nil"/>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nil"/>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nil"/>
              <w:right w:val="nil"/>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nil"/>
              <w:right w:val="nil"/>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nil"/>
              <w:right w:val="nil"/>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3" w:type="pct"/>
            <w:tcBorders>
              <w:top w:val="nil"/>
              <w:left w:val="nil"/>
              <w:bottom w:val="nil"/>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r>
      <w:tr w:rsidR="00227F17" w:rsidRPr="00227F17" w:rsidTr="008D394C">
        <w:trPr>
          <w:trHeight w:val="240"/>
        </w:trPr>
        <w:tc>
          <w:tcPr>
            <w:tcW w:w="95"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27F17" w:rsidRPr="00227F17" w:rsidRDefault="00B21C76" w:rsidP="00B21C76">
            <w:pPr>
              <w:pStyle w:val="TableHead"/>
              <w:jc w:val="center"/>
              <w:rPr>
                <w:lang w:val="en-US"/>
              </w:rPr>
            </w:pPr>
            <w:r>
              <w:rPr>
                <w:lang w:val="en-US"/>
              </w:rPr>
              <w:t>2</w:t>
            </w:r>
          </w:p>
        </w:tc>
        <w:tc>
          <w:tcPr>
            <w:tcW w:w="1401" w:type="pct"/>
            <w:tcBorders>
              <w:top w:val="single" w:sz="4" w:space="0" w:color="auto"/>
              <w:left w:val="nil"/>
              <w:bottom w:val="single" w:sz="4" w:space="0" w:color="auto"/>
              <w:right w:val="single" w:sz="4" w:space="0" w:color="auto"/>
            </w:tcBorders>
            <w:shd w:val="clear" w:color="auto" w:fill="auto"/>
            <w:vAlign w:val="center"/>
            <w:hideMark/>
          </w:tcPr>
          <w:p w:rsidR="00227F17" w:rsidRPr="00227F17" w:rsidRDefault="00227F17" w:rsidP="00B21C76">
            <w:pPr>
              <w:pStyle w:val="TableHead"/>
              <w:rPr>
                <w:lang w:val="en-US"/>
              </w:rPr>
            </w:pPr>
            <w:r w:rsidRPr="00227F17">
              <w:rPr>
                <w:lang w:val="en-US"/>
              </w:rPr>
              <w:t>Computer</w:t>
            </w:r>
            <w:r w:rsidR="004C5071">
              <w:rPr>
                <w:lang w:val="en-US"/>
              </w:rPr>
              <w:t xml:space="preserve"> m</w:t>
            </w:r>
            <w:r w:rsidRPr="00227F17">
              <w:rPr>
                <w:lang w:val="en-US"/>
              </w:rPr>
              <w:t>odeling</w:t>
            </w:r>
          </w:p>
        </w:tc>
        <w:tc>
          <w:tcPr>
            <w:tcW w:w="292" w:type="pct"/>
            <w:tcBorders>
              <w:top w:val="single" w:sz="4" w:space="0" w:color="auto"/>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1" w:type="pct"/>
            <w:tcBorders>
              <w:top w:val="single" w:sz="4" w:space="0" w:color="auto"/>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1" w:type="pct"/>
            <w:tcBorders>
              <w:top w:val="single" w:sz="4" w:space="0" w:color="auto"/>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single" w:sz="4" w:space="0" w:color="auto"/>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single" w:sz="4" w:space="0" w:color="auto"/>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single" w:sz="4" w:space="0" w:color="auto"/>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single" w:sz="4" w:space="0" w:color="auto"/>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single" w:sz="4" w:space="0" w:color="auto"/>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single" w:sz="4" w:space="0" w:color="auto"/>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single" w:sz="4" w:space="0" w:color="auto"/>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single" w:sz="4" w:space="0" w:color="auto"/>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3" w:type="pct"/>
            <w:tcBorders>
              <w:top w:val="single" w:sz="4" w:space="0" w:color="auto"/>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r>
      <w:tr w:rsidR="00227F17" w:rsidRPr="00227F17" w:rsidTr="008D394C">
        <w:trPr>
          <w:trHeight w:val="240"/>
        </w:trPr>
        <w:tc>
          <w:tcPr>
            <w:tcW w:w="95" w:type="pct"/>
            <w:tcBorders>
              <w:top w:val="nil"/>
              <w:left w:val="single" w:sz="8" w:space="0" w:color="auto"/>
              <w:bottom w:val="single" w:sz="4" w:space="0" w:color="auto"/>
              <w:right w:val="single" w:sz="4" w:space="0" w:color="auto"/>
            </w:tcBorders>
            <w:shd w:val="clear" w:color="auto" w:fill="auto"/>
            <w:noWrap/>
            <w:vAlign w:val="center"/>
            <w:hideMark/>
          </w:tcPr>
          <w:p w:rsidR="00227F17" w:rsidRPr="00227F17" w:rsidRDefault="00227F17" w:rsidP="00B21C76">
            <w:pPr>
              <w:pStyle w:val="TableHead"/>
              <w:jc w:val="center"/>
              <w:rPr>
                <w:lang w:val="en-US"/>
              </w:rPr>
            </w:pPr>
          </w:p>
        </w:tc>
        <w:tc>
          <w:tcPr>
            <w:tcW w:w="1401" w:type="pct"/>
            <w:tcBorders>
              <w:top w:val="nil"/>
              <w:left w:val="nil"/>
              <w:bottom w:val="single" w:sz="4" w:space="0" w:color="auto"/>
              <w:right w:val="single" w:sz="4" w:space="0" w:color="auto"/>
            </w:tcBorders>
            <w:shd w:val="clear" w:color="auto" w:fill="auto"/>
            <w:vAlign w:val="center"/>
            <w:hideMark/>
          </w:tcPr>
          <w:p w:rsidR="00227F17" w:rsidRPr="00227F17" w:rsidRDefault="00227F17" w:rsidP="00B21C76">
            <w:pPr>
              <w:pStyle w:val="TableHead"/>
              <w:rPr>
                <w:sz w:val="16"/>
                <w:szCs w:val="16"/>
                <w:lang w:val="en-US"/>
              </w:rPr>
            </w:pPr>
            <w:r w:rsidRPr="00227F17">
              <w:rPr>
                <w:sz w:val="16"/>
                <w:szCs w:val="16"/>
                <w:lang w:val="en-US"/>
              </w:rPr>
              <w:t>2.1</w:t>
            </w:r>
            <w:r w:rsidR="004C5071">
              <w:rPr>
                <w:sz w:val="16"/>
                <w:szCs w:val="16"/>
                <w:lang w:val="en-US"/>
              </w:rPr>
              <w:t xml:space="preserve"> </w:t>
            </w:r>
            <w:r w:rsidRPr="00227F17">
              <w:rPr>
                <w:sz w:val="16"/>
                <w:szCs w:val="16"/>
                <w:lang w:val="en-US"/>
              </w:rPr>
              <w:t>Software</w:t>
            </w:r>
            <w:r w:rsidR="004C5071">
              <w:rPr>
                <w:sz w:val="16"/>
                <w:szCs w:val="16"/>
                <w:lang w:val="en-US"/>
              </w:rPr>
              <w:t xml:space="preserve"> </w:t>
            </w:r>
            <w:r w:rsidRPr="00227F17">
              <w:rPr>
                <w:sz w:val="16"/>
                <w:szCs w:val="16"/>
                <w:lang w:val="en-US"/>
              </w:rPr>
              <w:t>for</w:t>
            </w:r>
            <w:r w:rsidR="004C5071">
              <w:rPr>
                <w:sz w:val="16"/>
                <w:szCs w:val="16"/>
                <w:lang w:val="en-US"/>
              </w:rPr>
              <w:t xml:space="preserve"> </w:t>
            </w:r>
            <w:r w:rsidRPr="00227F17">
              <w:rPr>
                <w:sz w:val="16"/>
                <w:szCs w:val="16"/>
                <w:lang w:val="en-US"/>
              </w:rPr>
              <w:t>computer</w:t>
            </w:r>
            <w:r w:rsidR="004C5071">
              <w:rPr>
                <w:sz w:val="16"/>
                <w:szCs w:val="16"/>
                <w:lang w:val="en-US"/>
              </w:rPr>
              <w:t xml:space="preserve"> </w:t>
            </w:r>
            <w:r w:rsidRPr="00227F17">
              <w:rPr>
                <w:sz w:val="16"/>
                <w:szCs w:val="16"/>
                <w:lang w:val="en-US"/>
              </w:rPr>
              <w:t>modeling</w:t>
            </w:r>
          </w:p>
        </w:tc>
        <w:tc>
          <w:tcPr>
            <w:tcW w:w="292" w:type="pct"/>
            <w:tcBorders>
              <w:top w:val="nil"/>
              <w:left w:val="nil"/>
              <w:bottom w:val="single" w:sz="4" w:space="0" w:color="auto"/>
              <w:right w:val="single" w:sz="4" w:space="0" w:color="auto"/>
            </w:tcBorders>
            <w:shd w:val="thinReverseDiagStripe" w:color="000000" w:fill="auto"/>
            <w:noWrap/>
            <w:vAlign w:val="bottom"/>
            <w:hideMark/>
          </w:tcPr>
          <w:p w:rsidR="00227F17" w:rsidRPr="00227F17" w:rsidRDefault="00227F17" w:rsidP="004C5071">
            <w:pPr>
              <w:ind w:left="-250" w:firstLine="250"/>
              <w:rPr>
                <w:rFonts w:ascii="Arial" w:hAnsi="Arial" w:cs="Arial"/>
                <w:color w:val="E3E3E3"/>
                <w:szCs w:val="18"/>
                <w:lang w:val="en-US"/>
              </w:rPr>
            </w:pPr>
          </w:p>
        </w:tc>
        <w:tc>
          <w:tcPr>
            <w:tcW w:w="291" w:type="pct"/>
            <w:tcBorders>
              <w:top w:val="nil"/>
              <w:left w:val="nil"/>
              <w:bottom w:val="single" w:sz="4" w:space="0" w:color="auto"/>
              <w:right w:val="single" w:sz="4" w:space="0" w:color="auto"/>
            </w:tcBorders>
            <w:shd w:val="thinReverseDiagStripe" w:color="000000" w:fill="auto"/>
            <w:noWrap/>
            <w:vAlign w:val="bottom"/>
            <w:hideMark/>
          </w:tcPr>
          <w:p w:rsidR="00227F17" w:rsidRPr="00227F17" w:rsidRDefault="00227F17" w:rsidP="004C5071">
            <w:pPr>
              <w:ind w:left="-250" w:firstLine="250"/>
              <w:rPr>
                <w:rFonts w:ascii="Arial" w:hAnsi="Arial" w:cs="Arial"/>
                <w:color w:val="E3E3E3"/>
                <w:szCs w:val="18"/>
                <w:lang w:val="en-US"/>
              </w:rPr>
            </w:pPr>
          </w:p>
        </w:tc>
        <w:tc>
          <w:tcPr>
            <w:tcW w:w="291" w:type="pct"/>
            <w:tcBorders>
              <w:top w:val="nil"/>
              <w:left w:val="nil"/>
              <w:bottom w:val="single" w:sz="4" w:space="0" w:color="auto"/>
              <w:right w:val="single" w:sz="4" w:space="0" w:color="auto"/>
            </w:tcBorders>
            <w:shd w:val="thinReverseDiagStripe" w:color="000000" w:fill="auto"/>
            <w:noWrap/>
            <w:vAlign w:val="bottom"/>
            <w:hideMark/>
          </w:tcPr>
          <w:p w:rsidR="00227F17" w:rsidRPr="00227F17" w:rsidRDefault="00227F17" w:rsidP="004C5071">
            <w:pPr>
              <w:ind w:left="-250" w:firstLine="250"/>
              <w:rPr>
                <w:rFonts w:ascii="Arial" w:hAnsi="Arial" w:cs="Arial"/>
                <w:color w:val="E3E3E3"/>
                <w:szCs w:val="18"/>
                <w:lang w:val="en-US"/>
              </w:rPr>
            </w:pPr>
          </w:p>
        </w:tc>
        <w:tc>
          <w:tcPr>
            <w:tcW w:w="292" w:type="pct"/>
            <w:tcBorders>
              <w:top w:val="nil"/>
              <w:left w:val="nil"/>
              <w:bottom w:val="single" w:sz="4" w:space="0" w:color="auto"/>
              <w:right w:val="single" w:sz="4" w:space="0" w:color="auto"/>
            </w:tcBorders>
            <w:shd w:val="thinReverseDiagStripe" w:color="000000" w:fill="auto"/>
            <w:noWrap/>
            <w:vAlign w:val="bottom"/>
            <w:hideMark/>
          </w:tcPr>
          <w:p w:rsidR="00227F17" w:rsidRPr="00227F17" w:rsidRDefault="00227F17" w:rsidP="004C5071">
            <w:pPr>
              <w:ind w:left="-250" w:firstLine="250"/>
              <w:rPr>
                <w:rFonts w:ascii="Arial" w:hAnsi="Arial" w:cs="Arial"/>
                <w:color w:val="E3E3E3"/>
                <w:szCs w:val="18"/>
                <w:lang w:val="en-US"/>
              </w:rPr>
            </w:pPr>
          </w:p>
        </w:tc>
        <w:tc>
          <w:tcPr>
            <w:tcW w:w="292" w:type="pct"/>
            <w:tcBorders>
              <w:top w:val="nil"/>
              <w:left w:val="nil"/>
              <w:bottom w:val="single" w:sz="4" w:space="0" w:color="auto"/>
              <w:right w:val="single" w:sz="4" w:space="0" w:color="auto"/>
            </w:tcBorders>
            <w:shd w:val="thinReverseDiagStripe" w:color="000000" w:fill="auto"/>
            <w:noWrap/>
            <w:vAlign w:val="bottom"/>
            <w:hideMark/>
          </w:tcPr>
          <w:p w:rsidR="00227F17" w:rsidRPr="00227F17" w:rsidRDefault="00227F17" w:rsidP="004C5071">
            <w:pPr>
              <w:ind w:left="-250" w:firstLine="250"/>
              <w:rPr>
                <w:rFonts w:ascii="Arial" w:hAnsi="Arial" w:cs="Arial"/>
                <w:color w:val="E3E3E3"/>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3"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r>
      <w:tr w:rsidR="00227F17" w:rsidRPr="00227F17" w:rsidTr="008D394C">
        <w:trPr>
          <w:trHeight w:val="240"/>
        </w:trPr>
        <w:tc>
          <w:tcPr>
            <w:tcW w:w="95" w:type="pct"/>
            <w:tcBorders>
              <w:top w:val="nil"/>
              <w:left w:val="single" w:sz="8" w:space="0" w:color="auto"/>
              <w:bottom w:val="single" w:sz="4" w:space="0" w:color="auto"/>
              <w:right w:val="single" w:sz="4" w:space="0" w:color="auto"/>
            </w:tcBorders>
            <w:shd w:val="clear" w:color="auto" w:fill="auto"/>
            <w:noWrap/>
            <w:vAlign w:val="center"/>
            <w:hideMark/>
          </w:tcPr>
          <w:p w:rsidR="00227F17" w:rsidRPr="00227F17" w:rsidRDefault="00227F17" w:rsidP="00B21C76">
            <w:pPr>
              <w:pStyle w:val="TableHead"/>
              <w:jc w:val="center"/>
              <w:rPr>
                <w:lang w:val="en-US"/>
              </w:rPr>
            </w:pPr>
          </w:p>
        </w:tc>
        <w:tc>
          <w:tcPr>
            <w:tcW w:w="1401" w:type="pct"/>
            <w:tcBorders>
              <w:top w:val="nil"/>
              <w:left w:val="nil"/>
              <w:bottom w:val="single" w:sz="4" w:space="0" w:color="auto"/>
              <w:right w:val="single" w:sz="4" w:space="0" w:color="auto"/>
            </w:tcBorders>
            <w:shd w:val="clear" w:color="auto" w:fill="auto"/>
            <w:vAlign w:val="center"/>
            <w:hideMark/>
          </w:tcPr>
          <w:p w:rsidR="00227F17" w:rsidRPr="00227F17" w:rsidRDefault="00227F17" w:rsidP="00B21C76">
            <w:pPr>
              <w:pStyle w:val="TableHead"/>
              <w:rPr>
                <w:sz w:val="16"/>
                <w:szCs w:val="16"/>
                <w:lang w:val="en-US"/>
              </w:rPr>
            </w:pPr>
            <w:r w:rsidRPr="00227F17">
              <w:rPr>
                <w:sz w:val="16"/>
                <w:szCs w:val="16"/>
                <w:lang w:val="en-US"/>
              </w:rPr>
              <w:t>2.2</w:t>
            </w:r>
            <w:r w:rsidR="004C5071">
              <w:rPr>
                <w:sz w:val="16"/>
                <w:szCs w:val="16"/>
                <w:lang w:val="en-US"/>
              </w:rPr>
              <w:t xml:space="preserve"> </w:t>
            </w:r>
            <w:r w:rsidRPr="00227F17">
              <w:rPr>
                <w:sz w:val="16"/>
                <w:szCs w:val="16"/>
                <w:lang w:val="en-US"/>
              </w:rPr>
              <w:t>Basic</w:t>
            </w:r>
            <w:r w:rsidR="004C5071">
              <w:rPr>
                <w:sz w:val="16"/>
                <w:szCs w:val="16"/>
                <w:lang w:val="en-US"/>
              </w:rPr>
              <w:t xml:space="preserve"> </w:t>
            </w:r>
            <w:r w:rsidRPr="00227F17">
              <w:rPr>
                <w:sz w:val="16"/>
                <w:szCs w:val="16"/>
                <w:lang w:val="en-US"/>
              </w:rPr>
              <w:t>optical</w:t>
            </w:r>
            <w:r w:rsidR="004C5071">
              <w:rPr>
                <w:sz w:val="16"/>
                <w:szCs w:val="16"/>
                <w:lang w:val="en-US"/>
              </w:rPr>
              <w:t xml:space="preserve"> </w:t>
            </w:r>
            <w:r w:rsidRPr="00227F17">
              <w:rPr>
                <w:sz w:val="16"/>
                <w:szCs w:val="16"/>
                <w:lang w:val="en-US"/>
              </w:rPr>
              <w:t>measuring</w:t>
            </w:r>
            <w:r w:rsidR="004C5071">
              <w:rPr>
                <w:sz w:val="16"/>
                <w:szCs w:val="16"/>
                <w:lang w:val="en-US"/>
              </w:rPr>
              <w:t xml:space="preserve"> </w:t>
            </w:r>
            <w:r w:rsidRPr="00227F17">
              <w:rPr>
                <w:sz w:val="16"/>
                <w:szCs w:val="16"/>
                <w:lang w:val="en-US"/>
              </w:rPr>
              <w:t>system</w:t>
            </w:r>
          </w:p>
        </w:tc>
        <w:tc>
          <w:tcPr>
            <w:tcW w:w="292" w:type="pct"/>
            <w:tcBorders>
              <w:top w:val="nil"/>
              <w:left w:val="nil"/>
              <w:bottom w:val="single" w:sz="4" w:space="0" w:color="auto"/>
              <w:right w:val="single" w:sz="4" w:space="0" w:color="auto"/>
            </w:tcBorders>
            <w:shd w:val="thinReverseDiagStripe" w:color="000000" w:fill="auto"/>
            <w:noWrap/>
            <w:vAlign w:val="bottom"/>
            <w:hideMark/>
          </w:tcPr>
          <w:p w:rsidR="00227F17" w:rsidRPr="00227F17" w:rsidRDefault="00227F17" w:rsidP="004C5071">
            <w:pPr>
              <w:ind w:left="-250" w:firstLine="250"/>
              <w:rPr>
                <w:rFonts w:ascii="Arial" w:hAnsi="Arial" w:cs="Arial"/>
                <w:color w:val="E3E3E3"/>
                <w:szCs w:val="18"/>
                <w:lang w:val="en-US"/>
              </w:rPr>
            </w:pPr>
          </w:p>
        </w:tc>
        <w:tc>
          <w:tcPr>
            <w:tcW w:w="291" w:type="pct"/>
            <w:tcBorders>
              <w:top w:val="nil"/>
              <w:left w:val="nil"/>
              <w:bottom w:val="single" w:sz="4" w:space="0" w:color="auto"/>
              <w:right w:val="single" w:sz="4" w:space="0" w:color="auto"/>
            </w:tcBorders>
            <w:shd w:val="thinReverseDiagStripe" w:color="000000" w:fill="auto"/>
            <w:noWrap/>
            <w:vAlign w:val="bottom"/>
            <w:hideMark/>
          </w:tcPr>
          <w:p w:rsidR="00227F17" w:rsidRPr="00227F17" w:rsidRDefault="00227F17" w:rsidP="004C5071">
            <w:pPr>
              <w:ind w:left="-250" w:firstLine="250"/>
              <w:rPr>
                <w:rFonts w:ascii="Arial" w:hAnsi="Arial" w:cs="Arial"/>
                <w:color w:val="E3E3E3"/>
                <w:szCs w:val="18"/>
                <w:lang w:val="en-US"/>
              </w:rPr>
            </w:pPr>
          </w:p>
        </w:tc>
        <w:tc>
          <w:tcPr>
            <w:tcW w:w="291"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3"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r>
      <w:tr w:rsidR="00227F17" w:rsidRPr="00227F17" w:rsidTr="008D394C">
        <w:trPr>
          <w:trHeight w:val="240"/>
        </w:trPr>
        <w:tc>
          <w:tcPr>
            <w:tcW w:w="95" w:type="pct"/>
            <w:tcBorders>
              <w:top w:val="nil"/>
              <w:left w:val="single" w:sz="8" w:space="0" w:color="auto"/>
              <w:bottom w:val="single" w:sz="4" w:space="0" w:color="auto"/>
              <w:right w:val="single" w:sz="4" w:space="0" w:color="auto"/>
            </w:tcBorders>
            <w:shd w:val="clear" w:color="auto" w:fill="auto"/>
            <w:noWrap/>
            <w:vAlign w:val="center"/>
            <w:hideMark/>
          </w:tcPr>
          <w:p w:rsidR="00227F17" w:rsidRPr="00227F17" w:rsidRDefault="00227F17" w:rsidP="00B21C76">
            <w:pPr>
              <w:pStyle w:val="TableHead"/>
              <w:jc w:val="center"/>
              <w:rPr>
                <w:lang w:val="en-US"/>
              </w:rPr>
            </w:pPr>
          </w:p>
        </w:tc>
        <w:tc>
          <w:tcPr>
            <w:tcW w:w="1401" w:type="pct"/>
            <w:tcBorders>
              <w:top w:val="nil"/>
              <w:left w:val="nil"/>
              <w:bottom w:val="single" w:sz="4" w:space="0" w:color="auto"/>
              <w:right w:val="single" w:sz="4" w:space="0" w:color="auto"/>
            </w:tcBorders>
            <w:shd w:val="clear" w:color="auto" w:fill="auto"/>
            <w:vAlign w:val="center"/>
            <w:hideMark/>
          </w:tcPr>
          <w:p w:rsidR="00227F17" w:rsidRPr="00227F17" w:rsidRDefault="00227F17" w:rsidP="00B21C76">
            <w:pPr>
              <w:pStyle w:val="TableHead"/>
              <w:rPr>
                <w:sz w:val="16"/>
                <w:szCs w:val="16"/>
                <w:lang w:val="en-US"/>
              </w:rPr>
            </w:pPr>
            <w:r w:rsidRPr="00227F17">
              <w:rPr>
                <w:sz w:val="16"/>
                <w:szCs w:val="16"/>
                <w:lang w:val="en-US"/>
              </w:rPr>
              <w:t>2.3</w:t>
            </w:r>
            <w:r w:rsidR="004C5071">
              <w:rPr>
                <w:sz w:val="16"/>
                <w:szCs w:val="16"/>
                <w:lang w:val="en-US"/>
              </w:rPr>
              <w:t xml:space="preserve"> </w:t>
            </w:r>
            <w:r w:rsidRPr="00227F17">
              <w:rPr>
                <w:sz w:val="16"/>
                <w:szCs w:val="16"/>
                <w:lang w:val="en-US"/>
              </w:rPr>
              <w:t>Complete</w:t>
            </w:r>
            <w:r w:rsidR="004C5071">
              <w:rPr>
                <w:sz w:val="16"/>
                <w:szCs w:val="16"/>
                <w:lang w:val="en-US"/>
              </w:rPr>
              <w:t xml:space="preserve"> </w:t>
            </w:r>
            <w:r w:rsidRPr="00227F17">
              <w:rPr>
                <w:sz w:val="16"/>
                <w:szCs w:val="16"/>
                <w:lang w:val="en-US"/>
              </w:rPr>
              <w:t>optical</w:t>
            </w:r>
            <w:r w:rsidR="004C5071">
              <w:rPr>
                <w:sz w:val="16"/>
                <w:szCs w:val="16"/>
                <w:lang w:val="en-US"/>
              </w:rPr>
              <w:t xml:space="preserve"> </w:t>
            </w:r>
            <w:r w:rsidRPr="00227F17">
              <w:rPr>
                <w:sz w:val="16"/>
                <w:szCs w:val="16"/>
                <w:lang w:val="en-US"/>
              </w:rPr>
              <w:t>measuring</w:t>
            </w:r>
            <w:r w:rsidR="004C5071">
              <w:rPr>
                <w:sz w:val="16"/>
                <w:szCs w:val="16"/>
                <w:lang w:val="en-US"/>
              </w:rPr>
              <w:t xml:space="preserve"> </w:t>
            </w:r>
            <w:r w:rsidRPr="00227F17">
              <w:rPr>
                <w:sz w:val="16"/>
                <w:szCs w:val="16"/>
                <w:lang w:val="en-US"/>
              </w:rPr>
              <w:t>system</w:t>
            </w: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1"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1" w:type="pct"/>
            <w:tcBorders>
              <w:top w:val="nil"/>
              <w:left w:val="nil"/>
              <w:bottom w:val="single" w:sz="4" w:space="0" w:color="auto"/>
              <w:right w:val="single" w:sz="4" w:space="0" w:color="auto"/>
            </w:tcBorders>
            <w:shd w:val="thinReverseDiagStripe" w:color="000000" w:fill="auto"/>
            <w:noWrap/>
            <w:vAlign w:val="bottom"/>
            <w:hideMark/>
          </w:tcPr>
          <w:p w:rsidR="00227F17" w:rsidRPr="00227F17" w:rsidRDefault="00227F17" w:rsidP="004C5071">
            <w:pPr>
              <w:ind w:left="-250" w:firstLine="250"/>
              <w:rPr>
                <w:rFonts w:ascii="Arial" w:hAnsi="Arial" w:cs="Arial"/>
                <w:color w:val="E3E3E3"/>
                <w:szCs w:val="18"/>
                <w:lang w:val="en-US"/>
              </w:rPr>
            </w:pPr>
          </w:p>
        </w:tc>
        <w:tc>
          <w:tcPr>
            <w:tcW w:w="292" w:type="pct"/>
            <w:tcBorders>
              <w:top w:val="nil"/>
              <w:left w:val="nil"/>
              <w:bottom w:val="single" w:sz="4" w:space="0" w:color="auto"/>
              <w:right w:val="single" w:sz="4" w:space="0" w:color="auto"/>
            </w:tcBorders>
            <w:shd w:val="thinReverseDiagStripe" w:color="000000" w:fill="auto"/>
            <w:noWrap/>
            <w:vAlign w:val="bottom"/>
            <w:hideMark/>
          </w:tcPr>
          <w:p w:rsidR="00227F17" w:rsidRPr="00227F17" w:rsidRDefault="00227F17" w:rsidP="004C5071">
            <w:pPr>
              <w:ind w:left="-250" w:firstLine="250"/>
              <w:rPr>
                <w:rFonts w:ascii="Arial" w:hAnsi="Arial" w:cs="Arial"/>
                <w:color w:val="E3E3E3"/>
                <w:szCs w:val="18"/>
                <w:lang w:val="en-US"/>
              </w:rPr>
            </w:pPr>
          </w:p>
        </w:tc>
        <w:tc>
          <w:tcPr>
            <w:tcW w:w="292" w:type="pct"/>
            <w:tcBorders>
              <w:top w:val="nil"/>
              <w:left w:val="nil"/>
              <w:bottom w:val="single" w:sz="4" w:space="0" w:color="auto"/>
              <w:right w:val="single" w:sz="4" w:space="0" w:color="auto"/>
            </w:tcBorders>
            <w:shd w:val="thinReverseDiagStripe" w:color="000000" w:fill="auto"/>
            <w:noWrap/>
            <w:vAlign w:val="bottom"/>
            <w:hideMark/>
          </w:tcPr>
          <w:p w:rsidR="00227F17" w:rsidRPr="00227F17" w:rsidRDefault="00227F17" w:rsidP="004C5071">
            <w:pPr>
              <w:ind w:left="-250" w:firstLine="250"/>
              <w:rPr>
                <w:rFonts w:ascii="Arial" w:hAnsi="Arial" w:cs="Arial"/>
                <w:color w:val="E3E3E3"/>
                <w:szCs w:val="18"/>
                <w:lang w:val="en-US"/>
              </w:rPr>
            </w:pPr>
          </w:p>
        </w:tc>
        <w:tc>
          <w:tcPr>
            <w:tcW w:w="292" w:type="pct"/>
            <w:tcBorders>
              <w:top w:val="nil"/>
              <w:left w:val="nil"/>
              <w:bottom w:val="single" w:sz="4" w:space="0" w:color="auto"/>
              <w:right w:val="single" w:sz="4" w:space="0" w:color="auto"/>
            </w:tcBorders>
            <w:shd w:val="thinReverseDiagStripe" w:color="000000" w:fill="auto"/>
            <w:noWrap/>
            <w:vAlign w:val="bottom"/>
            <w:hideMark/>
          </w:tcPr>
          <w:p w:rsidR="00227F17" w:rsidRPr="00227F17" w:rsidRDefault="00227F17" w:rsidP="004C5071">
            <w:pPr>
              <w:ind w:left="-250" w:firstLine="250"/>
              <w:rPr>
                <w:rFonts w:ascii="Arial" w:hAnsi="Arial" w:cs="Arial"/>
                <w:color w:val="E3E3E3"/>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3"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r>
      <w:tr w:rsidR="00227F17" w:rsidRPr="00227F17" w:rsidTr="008D394C">
        <w:trPr>
          <w:trHeight w:val="69"/>
        </w:trPr>
        <w:tc>
          <w:tcPr>
            <w:tcW w:w="95" w:type="pct"/>
            <w:tcBorders>
              <w:top w:val="nil"/>
              <w:left w:val="single" w:sz="8" w:space="0" w:color="auto"/>
              <w:bottom w:val="nil"/>
              <w:right w:val="nil"/>
            </w:tcBorders>
            <w:shd w:val="clear" w:color="auto" w:fill="auto"/>
            <w:noWrap/>
            <w:vAlign w:val="center"/>
            <w:hideMark/>
          </w:tcPr>
          <w:p w:rsidR="00227F17" w:rsidRPr="00227F17" w:rsidRDefault="00227F17" w:rsidP="00B21C76">
            <w:pPr>
              <w:pStyle w:val="TableHead"/>
              <w:jc w:val="center"/>
              <w:rPr>
                <w:lang w:val="en-US"/>
              </w:rPr>
            </w:pPr>
          </w:p>
        </w:tc>
        <w:tc>
          <w:tcPr>
            <w:tcW w:w="1401" w:type="pct"/>
            <w:tcBorders>
              <w:top w:val="nil"/>
              <w:left w:val="nil"/>
              <w:bottom w:val="nil"/>
              <w:right w:val="nil"/>
            </w:tcBorders>
            <w:shd w:val="clear" w:color="auto" w:fill="auto"/>
            <w:vAlign w:val="center"/>
            <w:hideMark/>
          </w:tcPr>
          <w:p w:rsidR="00227F17" w:rsidRPr="00227F17" w:rsidRDefault="00227F17" w:rsidP="00B21C76">
            <w:pPr>
              <w:pStyle w:val="TableHead"/>
              <w:rPr>
                <w:lang w:val="en-US"/>
              </w:rPr>
            </w:pPr>
          </w:p>
        </w:tc>
        <w:tc>
          <w:tcPr>
            <w:tcW w:w="292" w:type="pct"/>
            <w:tcBorders>
              <w:top w:val="nil"/>
              <w:left w:val="single" w:sz="4" w:space="0" w:color="auto"/>
              <w:bottom w:val="single" w:sz="4" w:space="0" w:color="auto"/>
              <w:right w:val="nil"/>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1" w:type="pct"/>
            <w:tcBorders>
              <w:top w:val="nil"/>
              <w:left w:val="nil"/>
              <w:bottom w:val="single" w:sz="4" w:space="0" w:color="auto"/>
              <w:right w:val="nil"/>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1" w:type="pct"/>
            <w:tcBorders>
              <w:top w:val="nil"/>
              <w:left w:val="nil"/>
              <w:bottom w:val="single" w:sz="4" w:space="0" w:color="auto"/>
              <w:right w:val="nil"/>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nil"/>
              <w:right w:val="nil"/>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nil"/>
              <w:right w:val="nil"/>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nil"/>
              <w:right w:val="nil"/>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nil"/>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nil"/>
              <w:right w:val="nil"/>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nil"/>
              <w:right w:val="nil"/>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nil"/>
              <w:right w:val="nil"/>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3" w:type="pct"/>
            <w:tcBorders>
              <w:top w:val="nil"/>
              <w:left w:val="nil"/>
              <w:bottom w:val="nil"/>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r>
      <w:tr w:rsidR="00227F17" w:rsidRPr="00227F17" w:rsidTr="008D394C">
        <w:trPr>
          <w:trHeight w:val="240"/>
        </w:trPr>
        <w:tc>
          <w:tcPr>
            <w:tcW w:w="95"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27F17" w:rsidRPr="00227F17" w:rsidRDefault="00B21C76" w:rsidP="00B21C76">
            <w:pPr>
              <w:pStyle w:val="TableHead"/>
              <w:jc w:val="center"/>
              <w:rPr>
                <w:lang w:val="en-US"/>
              </w:rPr>
            </w:pPr>
            <w:r>
              <w:rPr>
                <w:lang w:val="en-US"/>
              </w:rPr>
              <w:t>3</w:t>
            </w:r>
          </w:p>
        </w:tc>
        <w:tc>
          <w:tcPr>
            <w:tcW w:w="1401" w:type="pct"/>
            <w:tcBorders>
              <w:top w:val="single" w:sz="4" w:space="0" w:color="auto"/>
              <w:left w:val="nil"/>
              <w:bottom w:val="single" w:sz="4" w:space="0" w:color="auto"/>
              <w:right w:val="single" w:sz="4" w:space="0" w:color="auto"/>
            </w:tcBorders>
            <w:shd w:val="clear" w:color="auto" w:fill="auto"/>
            <w:vAlign w:val="center"/>
            <w:hideMark/>
          </w:tcPr>
          <w:p w:rsidR="00227F17" w:rsidRPr="00227F17" w:rsidRDefault="00227F17" w:rsidP="00B21C76">
            <w:pPr>
              <w:pStyle w:val="TableHead"/>
              <w:rPr>
                <w:lang w:val="en-US"/>
              </w:rPr>
            </w:pPr>
            <w:r w:rsidRPr="00227F17">
              <w:rPr>
                <w:lang w:val="en-US"/>
              </w:rPr>
              <w:t>Compensated</w:t>
            </w:r>
            <w:r w:rsidR="004C5071">
              <w:rPr>
                <w:lang w:val="en-US"/>
              </w:rPr>
              <w:t xml:space="preserve"> </w:t>
            </w:r>
            <w:r w:rsidRPr="00227F17">
              <w:rPr>
                <w:lang w:val="en-US"/>
              </w:rPr>
              <w:t>filter</w:t>
            </w:r>
            <w:r w:rsidR="004C5071">
              <w:rPr>
                <w:lang w:val="en-US"/>
              </w:rPr>
              <w:t xml:space="preserve"> </w:t>
            </w:r>
            <w:r w:rsidRPr="00227F17">
              <w:rPr>
                <w:lang w:val="en-US"/>
              </w:rPr>
              <w:t>assembly</w:t>
            </w: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1"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1"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single" w:sz="4" w:space="0" w:color="auto"/>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single" w:sz="4" w:space="0" w:color="auto"/>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single" w:sz="4" w:space="0" w:color="auto"/>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single" w:sz="4" w:space="0" w:color="auto"/>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single" w:sz="4" w:space="0" w:color="auto"/>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single" w:sz="4" w:space="0" w:color="auto"/>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single" w:sz="4" w:space="0" w:color="auto"/>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3" w:type="pct"/>
            <w:tcBorders>
              <w:top w:val="single" w:sz="4" w:space="0" w:color="auto"/>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r>
      <w:tr w:rsidR="00227F17" w:rsidRPr="00227F17" w:rsidTr="008D394C">
        <w:trPr>
          <w:trHeight w:val="240"/>
        </w:trPr>
        <w:tc>
          <w:tcPr>
            <w:tcW w:w="95" w:type="pct"/>
            <w:tcBorders>
              <w:top w:val="nil"/>
              <w:left w:val="single" w:sz="8" w:space="0" w:color="auto"/>
              <w:bottom w:val="single" w:sz="4" w:space="0" w:color="auto"/>
              <w:right w:val="single" w:sz="4" w:space="0" w:color="auto"/>
            </w:tcBorders>
            <w:shd w:val="clear" w:color="auto" w:fill="auto"/>
            <w:noWrap/>
            <w:vAlign w:val="center"/>
            <w:hideMark/>
          </w:tcPr>
          <w:p w:rsidR="00227F17" w:rsidRPr="00227F17" w:rsidRDefault="00227F17" w:rsidP="00B21C76">
            <w:pPr>
              <w:pStyle w:val="TableHead"/>
              <w:jc w:val="center"/>
              <w:rPr>
                <w:lang w:val="en-US"/>
              </w:rPr>
            </w:pPr>
          </w:p>
        </w:tc>
        <w:tc>
          <w:tcPr>
            <w:tcW w:w="1401" w:type="pct"/>
            <w:tcBorders>
              <w:top w:val="nil"/>
              <w:left w:val="nil"/>
              <w:bottom w:val="single" w:sz="4" w:space="0" w:color="auto"/>
              <w:right w:val="single" w:sz="4" w:space="0" w:color="auto"/>
            </w:tcBorders>
            <w:shd w:val="clear" w:color="auto" w:fill="auto"/>
            <w:vAlign w:val="center"/>
            <w:hideMark/>
          </w:tcPr>
          <w:p w:rsidR="00227F17" w:rsidRPr="00227F17" w:rsidRDefault="00227F17" w:rsidP="00B21C76">
            <w:pPr>
              <w:pStyle w:val="TableHead"/>
              <w:rPr>
                <w:sz w:val="16"/>
                <w:szCs w:val="16"/>
                <w:lang w:val="en-US"/>
              </w:rPr>
            </w:pPr>
            <w:r w:rsidRPr="00227F17">
              <w:rPr>
                <w:sz w:val="16"/>
                <w:szCs w:val="16"/>
                <w:lang w:val="en-US"/>
              </w:rPr>
              <w:t>3.1</w:t>
            </w:r>
            <w:r w:rsidR="004C5071">
              <w:rPr>
                <w:sz w:val="16"/>
                <w:szCs w:val="16"/>
                <w:lang w:val="en-US"/>
              </w:rPr>
              <w:t xml:space="preserve"> </w:t>
            </w:r>
            <w:r w:rsidRPr="00227F17">
              <w:rPr>
                <w:sz w:val="16"/>
                <w:szCs w:val="16"/>
                <w:lang w:val="en-US"/>
              </w:rPr>
              <w:t>Patentapplicationforcomp.LCD</w:t>
            </w:r>
          </w:p>
        </w:tc>
        <w:tc>
          <w:tcPr>
            <w:tcW w:w="292" w:type="pct"/>
            <w:tcBorders>
              <w:top w:val="nil"/>
              <w:left w:val="nil"/>
              <w:bottom w:val="single" w:sz="4" w:space="0" w:color="auto"/>
              <w:right w:val="single" w:sz="4" w:space="0" w:color="auto"/>
            </w:tcBorders>
            <w:shd w:val="thinReverseDiagStripe" w:color="000000" w:fill="auto"/>
            <w:noWrap/>
            <w:vAlign w:val="bottom"/>
            <w:hideMark/>
          </w:tcPr>
          <w:p w:rsidR="00227F17" w:rsidRPr="00227F17" w:rsidRDefault="00227F17" w:rsidP="004C5071">
            <w:pPr>
              <w:ind w:left="-250" w:firstLine="250"/>
              <w:rPr>
                <w:rFonts w:ascii="Arial" w:hAnsi="Arial" w:cs="Arial"/>
                <w:color w:val="E3E3E3"/>
                <w:szCs w:val="18"/>
                <w:lang w:val="en-US"/>
              </w:rPr>
            </w:pPr>
          </w:p>
        </w:tc>
        <w:tc>
          <w:tcPr>
            <w:tcW w:w="291"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1"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3"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r>
      <w:tr w:rsidR="00227F17" w:rsidRPr="00227F17" w:rsidTr="008D394C">
        <w:trPr>
          <w:trHeight w:val="240"/>
        </w:trPr>
        <w:tc>
          <w:tcPr>
            <w:tcW w:w="95" w:type="pct"/>
            <w:tcBorders>
              <w:top w:val="nil"/>
              <w:left w:val="single" w:sz="8" w:space="0" w:color="auto"/>
              <w:bottom w:val="single" w:sz="4" w:space="0" w:color="auto"/>
              <w:right w:val="single" w:sz="4" w:space="0" w:color="auto"/>
            </w:tcBorders>
            <w:shd w:val="clear" w:color="auto" w:fill="auto"/>
            <w:noWrap/>
            <w:vAlign w:val="center"/>
            <w:hideMark/>
          </w:tcPr>
          <w:p w:rsidR="00227F17" w:rsidRPr="00227F17" w:rsidRDefault="00227F17" w:rsidP="00B21C76">
            <w:pPr>
              <w:pStyle w:val="TableHead"/>
              <w:jc w:val="center"/>
              <w:rPr>
                <w:lang w:val="en-US"/>
              </w:rPr>
            </w:pPr>
          </w:p>
        </w:tc>
        <w:tc>
          <w:tcPr>
            <w:tcW w:w="1401" w:type="pct"/>
            <w:tcBorders>
              <w:top w:val="nil"/>
              <w:left w:val="nil"/>
              <w:bottom w:val="single" w:sz="4" w:space="0" w:color="auto"/>
              <w:right w:val="single" w:sz="4" w:space="0" w:color="auto"/>
            </w:tcBorders>
            <w:shd w:val="clear" w:color="auto" w:fill="auto"/>
            <w:vAlign w:val="center"/>
            <w:hideMark/>
          </w:tcPr>
          <w:p w:rsidR="00227F17" w:rsidRPr="00227F17" w:rsidRDefault="00227F17" w:rsidP="00B21C76">
            <w:pPr>
              <w:pStyle w:val="TableHead"/>
              <w:rPr>
                <w:sz w:val="16"/>
                <w:szCs w:val="16"/>
                <w:lang w:val="en-US"/>
              </w:rPr>
            </w:pPr>
            <w:r w:rsidRPr="00227F17">
              <w:rPr>
                <w:sz w:val="16"/>
                <w:szCs w:val="16"/>
                <w:lang w:val="en-US"/>
              </w:rPr>
              <w:t>3.2</w:t>
            </w:r>
            <w:r w:rsidR="004C5071">
              <w:rPr>
                <w:sz w:val="16"/>
                <w:szCs w:val="16"/>
                <w:lang w:val="en-US"/>
              </w:rPr>
              <w:t xml:space="preserve"> </w:t>
            </w:r>
            <w:r w:rsidRPr="00227F17">
              <w:rPr>
                <w:sz w:val="16"/>
                <w:szCs w:val="16"/>
                <w:lang w:val="en-US"/>
              </w:rPr>
              <w:t>NR</w:t>
            </w:r>
            <w:r w:rsidR="004C5071">
              <w:rPr>
                <w:sz w:val="16"/>
                <w:szCs w:val="16"/>
                <w:lang w:val="en-US"/>
              </w:rPr>
              <w:t xml:space="preserve"> </w:t>
            </w:r>
            <w:r w:rsidRPr="00227F17">
              <w:rPr>
                <w:sz w:val="16"/>
                <w:szCs w:val="16"/>
                <w:lang w:val="en-US"/>
              </w:rPr>
              <w:t>layers</w:t>
            </w:r>
            <w:r w:rsidR="004C5071">
              <w:rPr>
                <w:sz w:val="16"/>
                <w:szCs w:val="16"/>
                <w:lang w:val="en-US"/>
              </w:rPr>
              <w:t xml:space="preserve"> </w:t>
            </w:r>
            <w:r w:rsidRPr="00227F17">
              <w:rPr>
                <w:sz w:val="16"/>
                <w:szCs w:val="16"/>
                <w:lang w:val="en-US"/>
              </w:rPr>
              <w:t>development</w:t>
            </w:r>
          </w:p>
        </w:tc>
        <w:tc>
          <w:tcPr>
            <w:tcW w:w="292" w:type="pct"/>
            <w:tcBorders>
              <w:top w:val="nil"/>
              <w:left w:val="nil"/>
              <w:bottom w:val="single" w:sz="4" w:space="0" w:color="auto"/>
              <w:right w:val="single" w:sz="4" w:space="0" w:color="auto"/>
            </w:tcBorders>
            <w:shd w:val="thinReverseDiagStripe" w:color="000000" w:fill="auto"/>
            <w:noWrap/>
            <w:vAlign w:val="bottom"/>
            <w:hideMark/>
          </w:tcPr>
          <w:p w:rsidR="00227F17" w:rsidRPr="00227F17" w:rsidRDefault="00227F17" w:rsidP="004C5071">
            <w:pPr>
              <w:ind w:left="-250" w:firstLine="250"/>
              <w:rPr>
                <w:rFonts w:ascii="Arial" w:hAnsi="Arial" w:cs="Arial"/>
                <w:color w:val="E3E3E3"/>
                <w:szCs w:val="18"/>
                <w:lang w:val="en-US"/>
              </w:rPr>
            </w:pPr>
          </w:p>
        </w:tc>
        <w:tc>
          <w:tcPr>
            <w:tcW w:w="291" w:type="pct"/>
            <w:tcBorders>
              <w:top w:val="nil"/>
              <w:left w:val="nil"/>
              <w:bottom w:val="single" w:sz="4" w:space="0" w:color="auto"/>
              <w:right w:val="single" w:sz="4" w:space="0" w:color="auto"/>
            </w:tcBorders>
            <w:shd w:val="thinReverseDiagStripe" w:color="000000" w:fill="auto"/>
            <w:noWrap/>
            <w:vAlign w:val="bottom"/>
            <w:hideMark/>
          </w:tcPr>
          <w:p w:rsidR="00227F17" w:rsidRPr="00227F17" w:rsidRDefault="00227F17" w:rsidP="004C5071">
            <w:pPr>
              <w:ind w:left="-250" w:firstLine="250"/>
              <w:rPr>
                <w:rFonts w:ascii="Arial" w:hAnsi="Arial" w:cs="Arial"/>
                <w:color w:val="E3E3E3"/>
                <w:szCs w:val="18"/>
                <w:lang w:val="en-US"/>
              </w:rPr>
            </w:pPr>
          </w:p>
        </w:tc>
        <w:tc>
          <w:tcPr>
            <w:tcW w:w="291" w:type="pct"/>
            <w:tcBorders>
              <w:top w:val="nil"/>
              <w:left w:val="nil"/>
              <w:bottom w:val="single" w:sz="4" w:space="0" w:color="auto"/>
              <w:right w:val="single" w:sz="4" w:space="0" w:color="auto"/>
            </w:tcBorders>
            <w:shd w:val="thinReverseDiagStripe" w:color="000000" w:fill="auto"/>
            <w:noWrap/>
            <w:vAlign w:val="bottom"/>
            <w:hideMark/>
          </w:tcPr>
          <w:p w:rsidR="00227F17" w:rsidRPr="00227F17" w:rsidRDefault="00227F17" w:rsidP="004C5071">
            <w:pPr>
              <w:ind w:left="-250" w:firstLine="250"/>
              <w:rPr>
                <w:rFonts w:ascii="Arial" w:hAnsi="Arial" w:cs="Arial"/>
                <w:color w:val="E3E3E3"/>
                <w:szCs w:val="18"/>
                <w:lang w:val="en-US"/>
              </w:rPr>
            </w:pPr>
          </w:p>
        </w:tc>
        <w:tc>
          <w:tcPr>
            <w:tcW w:w="292" w:type="pct"/>
            <w:tcBorders>
              <w:top w:val="nil"/>
              <w:left w:val="nil"/>
              <w:bottom w:val="single" w:sz="4" w:space="0" w:color="auto"/>
              <w:right w:val="single" w:sz="4" w:space="0" w:color="auto"/>
            </w:tcBorders>
            <w:shd w:val="thinReverseDiagStripe" w:color="000000" w:fill="auto"/>
            <w:noWrap/>
            <w:vAlign w:val="bottom"/>
            <w:hideMark/>
          </w:tcPr>
          <w:p w:rsidR="00227F17" w:rsidRPr="00227F17" w:rsidRDefault="00227F17" w:rsidP="004C5071">
            <w:pPr>
              <w:ind w:left="-250" w:firstLine="250"/>
              <w:rPr>
                <w:rFonts w:ascii="Arial" w:hAnsi="Arial" w:cs="Arial"/>
                <w:color w:val="E3E3E3"/>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3"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r>
      <w:tr w:rsidR="00227F17" w:rsidRPr="00227F17" w:rsidTr="008D394C">
        <w:trPr>
          <w:trHeight w:val="240"/>
        </w:trPr>
        <w:tc>
          <w:tcPr>
            <w:tcW w:w="95" w:type="pct"/>
            <w:tcBorders>
              <w:top w:val="nil"/>
              <w:left w:val="single" w:sz="8" w:space="0" w:color="auto"/>
              <w:bottom w:val="single" w:sz="4" w:space="0" w:color="auto"/>
              <w:right w:val="single" w:sz="4" w:space="0" w:color="auto"/>
            </w:tcBorders>
            <w:shd w:val="clear" w:color="auto" w:fill="auto"/>
            <w:noWrap/>
            <w:vAlign w:val="center"/>
            <w:hideMark/>
          </w:tcPr>
          <w:p w:rsidR="00227F17" w:rsidRPr="00227F17" w:rsidRDefault="00227F17" w:rsidP="00B21C76">
            <w:pPr>
              <w:pStyle w:val="TableHead"/>
              <w:jc w:val="center"/>
              <w:rPr>
                <w:lang w:val="en-US"/>
              </w:rPr>
            </w:pPr>
          </w:p>
        </w:tc>
        <w:tc>
          <w:tcPr>
            <w:tcW w:w="1401" w:type="pct"/>
            <w:tcBorders>
              <w:top w:val="nil"/>
              <w:left w:val="nil"/>
              <w:bottom w:val="single" w:sz="4" w:space="0" w:color="auto"/>
              <w:right w:val="single" w:sz="4" w:space="0" w:color="auto"/>
            </w:tcBorders>
            <w:shd w:val="clear" w:color="auto" w:fill="auto"/>
            <w:vAlign w:val="center"/>
            <w:hideMark/>
          </w:tcPr>
          <w:p w:rsidR="00227F17" w:rsidRPr="00227F17" w:rsidRDefault="00227F17" w:rsidP="00B21C76">
            <w:pPr>
              <w:pStyle w:val="TableHead"/>
              <w:rPr>
                <w:sz w:val="16"/>
                <w:szCs w:val="16"/>
                <w:lang w:val="en-US"/>
              </w:rPr>
            </w:pPr>
            <w:r w:rsidRPr="00227F17">
              <w:rPr>
                <w:sz w:val="16"/>
                <w:szCs w:val="16"/>
                <w:lang w:val="en-US"/>
              </w:rPr>
              <w:t>3.3</w:t>
            </w:r>
            <w:r w:rsidR="004C5071">
              <w:rPr>
                <w:sz w:val="16"/>
                <w:szCs w:val="16"/>
                <w:lang w:val="en-US"/>
              </w:rPr>
              <w:t xml:space="preserve"> </w:t>
            </w:r>
            <w:r w:rsidRPr="00227F17">
              <w:rPr>
                <w:sz w:val="16"/>
                <w:szCs w:val="16"/>
                <w:lang w:val="en-US"/>
              </w:rPr>
              <w:t>PT</w:t>
            </w:r>
            <w:r w:rsidR="004C5071">
              <w:rPr>
                <w:sz w:val="16"/>
                <w:szCs w:val="16"/>
                <w:lang w:val="en-US"/>
              </w:rPr>
              <w:t xml:space="preserve"> </w:t>
            </w:r>
            <w:r w:rsidRPr="00227F17">
              <w:rPr>
                <w:sz w:val="16"/>
                <w:szCs w:val="16"/>
                <w:lang w:val="en-US"/>
              </w:rPr>
              <w:t>filter</w:t>
            </w:r>
            <w:r w:rsidR="004C5071">
              <w:rPr>
                <w:sz w:val="16"/>
                <w:szCs w:val="16"/>
                <w:lang w:val="en-US"/>
              </w:rPr>
              <w:t xml:space="preserve"> </w:t>
            </w:r>
            <w:r w:rsidRPr="00227F17">
              <w:rPr>
                <w:sz w:val="16"/>
                <w:szCs w:val="16"/>
                <w:lang w:val="en-US"/>
              </w:rPr>
              <w:t>with</w:t>
            </w:r>
            <w:r w:rsidR="004C5071">
              <w:rPr>
                <w:sz w:val="16"/>
                <w:szCs w:val="16"/>
                <w:lang w:val="en-US"/>
              </w:rPr>
              <w:t xml:space="preserve"> </w:t>
            </w:r>
            <w:r w:rsidRPr="00227F17">
              <w:rPr>
                <w:sz w:val="16"/>
                <w:szCs w:val="16"/>
                <w:lang w:val="en-US"/>
              </w:rPr>
              <w:t>compensated</w:t>
            </w:r>
            <w:r w:rsidR="004C5071">
              <w:rPr>
                <w:sz w:val="16"/>
                <w:szCs w:val="16"/>
                <w:lang w:val="en-US"/>
              </w:rPr>
              <w:t xml:space="preserve"> </w:t>
            </w:r>
            <w:r w:rsidRPr="00227F17">
              <w:rPr>
                <w:sz w:val="16"/>
                <w:szCs w:val="16"/>
                <w:lang w:val="en-US"/>
              </w:rPr>
              <w:t>LCD</w:t>
            </w: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1"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1"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thinReverseDiagStripe" w:color="000000" w:fill="auto"/>
            <w:noWrap/>
            <w:vAlign w:val="bottom"/>
            <w:hideMark/>
          </w:tcPr>
          <w:p w:rsidR="00227F17" w:rsidRPr="00227F17" w:rsidRDefault="00227F17" w:rsidP="004C5071">
            <w:pPr>
              <w:ind w:left="-250" w:firstLine="250"/>
              <w:rPr>
                <w:rFonts w:ascii="Arial" w:hAnsi="Arial" w:cs="Arial"/>
                <w:color w:val="E3E3E3"/>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3"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r>
      <w:tr w:rsidR="00227F17" w:rsidRPr="00227F17" w:rsidTr="008D394C">
        <w:trPr>
          <w:trHeight w:val="240"/>
        </w:trPr>
        <w:tc>
          <w:tcPr>
            <w:tcW w:w="95" w:type="pct"/>
            <w:tcBorders>
              <w:top w:val="nil"/>
              <w:left w:val="single" w:sz="8" w:space="0" w:color="auto"/>
              <w:bottom w:val="single" w:sz="4" w:space="0" w:color="auto"/>
              <w:right w:val="single" w:sz="4" w:space="0" w:color="auto"/>
            </w:tcBorders>
            <w:shd w:val="clear" w:color="auto" w:fill="auto"/>
            <w:noWrap/>
            <w:vAlign w:val="center"/>
            <w:hideMark/>
          </w:tcPr>
          <w:p w:rsidR="00227F17" w:rsidRPr="00227F17" w:rsidRDefault="00227F17" w:rsidP="00B21C76">
            <w:pPr>
              <w:pStyle w:val="TableHead"/>
              <w:jc w:val="center"/>
              <w:rPr>
                <w:lang w:val="en-US"/>
              </w:rPr>
            </w:pPr>
          </w:p>
        </w:tc>
        <w:tc>
          <w:tcPr>
            <w:tcW w:w="1401" w:type="pct"/>
            <w:tcBorders>
              <w:top w:val="nil"/>
              <w:left w:val="nil"/>
              <w:bottom w:val="single" w:sz="4" w:space="0" w:color="auto"/>
              <w:right w:val="single" w:sz="4" w:space="0" w:color="auto"/>
            </w:tcBorders>
            <w:shd w:val="clear" w:color="auto" w:fill="auto"/>
            <w:vAlign w:val="center"/>
            <w:hideMark/>
          </w:tcPr>
          <w:p w:rsidR="00227F17" w:rsidRPr="00227F17" w:rsidRDefault="00227F17" w:rsidP="00B21C76">
            <w:pPr>
              <w:pStyle w:val="TableHead"/>
              <w:rPr>
                <w:sz w:val="16"/>
                <w:szCs w:val="16"/>
                <w:lang w:val="en-US"/>
              </w:rPr>
            </w:pPr>
            <w:r w:rsidRPr="00227F17">
              <w:rPr>
                <w:sz w:val="16"/>
                <w:szCs w:val="16"/>
                <w:lang w:val="en-US"/>
              </w:rPr>
              <w:t>3.4</w:t>
            </w:r>
            <w:r w:rsidR="004C5071">
              <w:rPr>
                <w:sz w:val="16"/>
                <w:szCs w:val="16"/>
                <w:lang w:val="en-US"/>
              </w:rPr>
              <w:t xml:space="preserve"> </w:t>
            </w:r>
            <w:r w:rsidRPr="00227F17">
              <w:rPr>
                <w:sz w:val="16"/>
                <w:szCs w:val="16"/>
                <w:lang w:val="en-US"/>
              </w:rPr>
              <w:t>Development</w:t>
            </w:r>
            <w:r w:rsidR="004C5071">
              <w:rPr>
                <w:sz w:val="16"/>
                <w:szCs w:val="16"/>
                <w:lang w:val="en-US"/>
              </w:rPr>
              <w:t xml:space="preserve"> </w:t>
            </w:r>
            <w:r w:rsidRPr="00227F17">
              <w:rPr>
                <w:sz w:val="16"/>
                <w:szCs w:val="16"/>
                <w:lang w:val="en-US"/>
              </w:rPr>
              <w:t>of</w:t>
            </w:r>
            <w:r w:rsidR="004C5071">
              <w:rPr>
                <w:sz w:val="16"/>
                <w:szCs w:val="16"/>
                <w:lang w:val="en-US"/>
              </w:rPr>
              <w:t xml:space="preserve"> </w:t>
            </w:r>
            <w:r w:rsidRPr="00227F17">
              <w:rPr>
                <w:sz w:val="16"/>
                <w:szCs w:val="16"/>
                <w:lang w:val="en-US"/>
              </w:rPr>
              <w:t>optimum</w:t>
            </w:r>
            <w:r w:rsidR="004C5071">
              <w:rPr>
                <w:sz w:val="16"/>
                <w:szCs w:val="16"/>
                <w:lang w:val="en-US"/>
              </w:rPr>
              <w:t xml:space="preserve"> </w:t>
            </w:r>
            <w:r w:rsidRPr="00227F17">
              <w:rPr>
                <w:sz w:val="16"/>
                <w:szCs w:val="16"/>
                <w:lang w:val="en-US"/>
              </w:rPr>
              <w:t>filter</w:t>
            </w:r>
            <w:r w:rsidR="004C5071">
              <w:rPr>
                <w:sz w:val="16"/>
                <w:szCs w:val="16"/>
                <w:lang w:val="en-US"/>
              </w:rPr>
              <w:t xml:space="preserve"> </w:t>
            </w:r>
            <w:proofErr w:type="spellStart"/>
            <w:r w:rsidRPr="00227F17">
              <w:rPr>
                <w:sz w:val="16"/>
                <w:szCs w:val="16"/>
                <w:lang w:val="en-US"/>
              </w:rPr>
              <w:t>config</w:t>
            </w:r>
            <w:proofErr w:type="spellEnd"/>
            <w:r w:rsidRPr="00227F17">
              <w:rPr>
                <w:sz w:val="16"/>
                <w:szCs w:val="16"/>
                <w:lang w:val="en-US"/>
              </w:rPr>
              <w:t>.</w:t>
            </w: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1"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1"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thinReverseDiagStripe" w:color="000000" w:fill="auto"/>
            <w:noWrap/>
            <w:vAlign w:val="bottom"/>
            <w:hideMark/>
          </w:tcPr>
          <w:p w:rsidR="00227F17" w:rsidRPr="00227F17" w:rsidRDefault="00227F17" w:rsidP="004C5071">
            <w:pPr>
              <w:ind w:left="-250" w:firstLine="250"/>
              <w:rPr>
                <w:rFonts w:ascii="Arial" w:hAnsi="Arial" w:cs="Arial"/>
                <w:color w:val="E3E3E3"/>
                <w:szCs w:val="18"/>
                <w:lang w:val="en-US"/>
              </w:rPr>
            </w:pPr>
          </w:p>
        </w:tc>
        <w:tc>
          <w:tcPr>
            <w:tcW w:w="292" w:type="pct"/>
            <w:tcBorders>
              <w:top w:val="nil"/>
              <w:left w:val="nil"/>
              <w:bottom w:val="single" w:sz="4" w:space="0" w:color="auto"/>
              <w:right w:val="single" w:sz="4" w:space="0" w:color="auto"/>
            </w:tcBorders>
            <w:shd w:val="thinReverseDiagStripe" w:color="000000" w:fill="auto"/>
            <w:noWrap/>
            <w:vAlign w:val="bottom"/>
            <w:hideMark/>
          </w:tcPr>
          <w:p w:rsidR="00227F17" w:rsidRPr="00227F17" w:rsidRDefault="00227F17" w:rsidP="004C5071">
            <w:pPr>
              <w:ind w:left="-250" w:firstLine="250"/>
              <w:rPr>
                <w:rFonts w:ascii="Arial" w:hAnsi="Arial" w:cs="Arial"/>
                <w:color w:val="E3E3E3"/>
                <w:szCs w:val="18"/>
                <w:lang w:val="en-US"/>
              </w:rPr>
            </w:pPr>
          </w:p>
        </w:tc>
        <w:tc>
          <w:tcPr>
            <w:tcW w:w="292" w:type="pct"/>
            <w:tcBorders>
              <w:top w:val="nil"/>
              <w:left w:val="nil"/>
              <w:bottom w:val="single" w:sz="4" w:space="0" w:color="auto"/>
              <w:right w:val="single" w:sz="4" w:space="0" w:color="auto"/>
            </w:tcBorders>
            <w:shd w:val="thinReverseDiagStripe" w:color="000000" w:fill="auto"/>
            <w:noWrap/>
            <w:vAlign w:val="bottom"/>
            <w:hideMark/>
          </w:tcPr>
          <w:p w:rsidR="00227F17" w:rsidRPr="00227F17" w:rsidRDefault="00227F17" w:rsidP="004C5071">
            <w:pPr>
              <w:ind w:left="-250" w:firstLine="250"/>
              <w:rPr>
                <w:rFonts w:ascii="Arial" w:hAnsi="Arial" w:cs="Arial"/>
                <w:color w:val="E3E3E3"/>
                <w:szCs w:val="18"/>
                <w:lang w:val="en-US"/>
              </w:rPr>
            </w:pPr>
          </w:p>
        </w:tc>
        <w:tc>
          <w:tcPr>
            <w:tcW w:w="292" w:type="pct"/>
            <w:tcBorders>
              <w:top w:val="nil"/>
              <w:left w:val="nil"/>
              <w:bottom w:val="single" w:sz="4" w:space="0" w:color="auto"/>
              <w:right w:val="single" w:sz="4" w:space="0" w:color="auto"/>
            </w:tcBorders>
            <w:shd w:val="thinReverseDiagStripe" w:color="000000" w:fill="auto"/>
            <w:noWrap/>
            <w:vAlign w:val="bottom"/>
            <w:hideMark/>
          </w:tcPr>
          <w:p w:rsidR="00227F17" w:rsidRPr="00227F17" w:rsidRDefault="00227F17" w:rsidP="004C5071">
            <w:pPr>
              <w:ind w:left="-250" w:firstLine="250"/>
              <w:rPr>
                <w:rFonts w:ascii="Arial" w:hAnsi="Arial" w:cs="Arial"/>
                <w:color w:val="E3E3E3"/>
                <w:szCs w:val="18"/>
                <w:lang w:val="en-US"/>
              </w:rPr>
            </w:pPr>
          </w:p>
        </w:tc>
        <w:tc>
          <w:tcPr>
            <w:tcW w:w="292" w:type="pct"/>
            <w:tcBorders>
              <w:top w:val="nil"/>
              <w:left w:val="nil"/>
              <w:bottom w:val="single" w:sz="4" w:space="0" w:color="auto"/>
              <w:right w:val="single" w:sz="4" w:space="0" w:color="auto"/>
            </w:tcBorders>
            <w:shd w:val="thinReverseDiagStripe" w:color="000000" w:fill="auto"/>
            <w:noWrap/>
            <w:vAlign w:val="bottom"/>
            <w:hideMark/>
          </w:tcPr>
          <w:p w:rsidR="00227F17" w:rsidRPr="00227F17" w:rsidRDefault="00227F17" w:rsidP="004C5071">
            <w:pPr>
              <w:ind w:left="-250" w:firstLine="250"/>
              <w:rPr>
                <w:rFonts w:ascii="Arial" w:hAnsi="Arial" w:cs="Arial"/>
                <w:color w:val="E3E3E3"/>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3"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r>
      <w:tr w:rsidR="00227F17" w:rsidRPr="00227F17" w:rsidTr="008D394C">
        <w:trPr>
          <w:trHeight w:val="240"/>
        </w:trPr>
        <w:tc>
          <w:tcPr>
            <w:tcW w:w="95" w:type="pct"/>
            <w:tcBorders>
              <w:top w:val="nil"/>
              <w:left w:val="single" w:sz="8" w:space="0" w:color="auto"/>
              <w:bottom w:val="single" w:sz="4" w:space="0" w:color="auto"/>
              <w:right w:val="single" w:sz="4" w:space="0" w:color="auto"/>
            </w:tcBorders>
            <w:shd w:val="clear" w:color="auto" w:fill="auto"/>
            <w:noWrap/>
            <w:vAlign w:val="center"/>
            <w:hideMark/>
          </w:tcPr>
          <w:p w:rsidR="00227F17" w:rsidRPr="00227F17" w:rsidRDefault="00227F17" w:rsidP="00B21C76">
            <w:pPr>
              <w:pStyle w:val="TableHead"/>
              <w:jc w:val="center"/>
              <w:rPr>
                <w:lang w:val="en-US"/>
              </w:rPr>
            </w:pPr>
          </w:p>
        </w:tc>
        <w:tc>
          <w:tcPr>
            <w:tcW w:w="1401" w:type="pct"/>
            <w:tcBorders>
              <w:top w:val="nil"/>
              <w:left w:val="nil"/>
              <w:bottom w:val="single" w:sz="4" w:space="0" w:color="auto"/>
              <w:right w:val="single" w:sz="4" w:space="0" w:color="auto"/>
            </w:tcBorders>
            <w:shd w:val="clear" w:color="auto" w:fill="auto"/>
            <w:vAlign w:val="center"/>
            <w:hideMark/>
          </w:tcPr>
          <w:p w:rsidR="00227F17" w:rsidRPr="00227F17" w:rsidRDefault="00227F17" w:rsidP="00B21C76">
            <w:pPr>
              <w:pStyle w:val="TableHead"/>
              <w:rPr>
                <w:sz w:val="16"/>
                <w:szCs w:val="16"/>
                <w:lang w:val="en-US"/>
              </w:rPr>
            </w:pPr>
            <w:r w:rsidRPr="00227F17">
              <w:rPr>
                <w:sz w:val="16"/>
                <w:szCs w:val="16"/>
                <w:lang w:val="en-US"/>
              </w:rPr>
              <w:t>3.5</w:t>
            </w:r>
            <w:r w:rsidR="004C5071">
              <w:rPr>
                <w:sz w:val="16"/>
                <w:szCs w:val="16"/>
                <w:lang w:val="en-US"/>
              </w:rPr>
              <w:t xml:space="preserve"> </w:t>
            </w:r>
            <w:r w:rsidRPr="00227F17">
              <w:rPr>
                <w:sz w:val="16"/>
                <w:szCs w:val="16"/>
                <w:lang w:val="en-US"/>
              </w:rPr>
              <w:t>Experimental</w:t>
            </w:r>
            <w:r w:rsidR="004C5071">
              <w:rPr>
                <w:sz w:val="16"/>
                <w:szCs w:val="16"/>
                <w:lang w:val="en-US"/>
              </w:rPr>
              <w:t xml:space="preserve"> </w:t>
            </w:r>
            <w:r w:rsidRPr="00227F17">
              <w:rPr>
                <w:sz w:val="16"/>
                <w:szCs w:val="16"/>
                <w:lang w:val="en-US"/>
              </w:rPr>
              <w:t>evalu</w:t>
            </w:r>
            <w:r w:rsidR="004C5071">
              <w:rPr>
                <w:sz w:val="16"/>
                <w:szCs w:val="16"/>
                <w:lang w:val="en-US"/>
              </w:rPr>
              <w:t>a</w:t>
            </w:r>
            <w:r w:rsidRPr="00227F17">
              <w:rPr>
                <w:sz w:val="16"/>
                <w:szCs w:val="16"/>
                <w:lang w:val="en-US"/>
              </w:rPr>
              <w:t>tion</w:t>
            </w: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1"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1"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thinReverseDiagStripe" w:color="000000" w:fill="auto"/>
            <w:noWrap/>
            <w:vAlign w:val="bottom"/>
            <w:hideMark/>
          </w:tcPr>
          <w:p w:rsidR="00227F17" w:rsidRPr="00227F17" w:rsidRDefault="00227F17" w:rsidP="004C5071">
            <w:pPr>
              <w:ind w:left="-250" w:firstLine="250"/>
              <w:rPr>
                <w:rFonts w:ascii="Arial" w:hAnsi="Arial" w:cs="Arial"/>
                <w:color w:val="E3E3E3"/>
                <w:szCs w:val="18"/>
                <w:lang w:val="en-US"/>
              </w:rPr>
            </w:pPr>
          </w:p>
        </w:tc>
        <w:tc>
          <w:tcPr>
            <w:tcW w:w="292" w:type="pct"/>
            <w:tcBorders>
              <w:top w:val="nil"/>
              <w:left w:val="nil"/>
              <w:bottom w:val="single" w:sz="4" w:space="0" w:color="auto"/>
              <w:right w:val="single" w:sz="4" w:space="0" w:color="auto"/>
            </w:tcBorders>
            <w:shd w:val="thinReverseDiagStripe" w:color="000000" w:fill="auto"/>
            <w:noWrap/>
            <w:vAlign w:val="bottom"/>
            <w:hideMark/>
          </w:tcPr>
          <w:p w:rsidR="00227F17" w:rsidRPr="00227F17" w:rsidRDefault="00227F17" w:rsidP="004C5071">
            <w:pPr>
              <w:ind w:left="-250" w:firstLine="250"/>
              <w:rPr>
                <w:rFonts w:ascii="Arial" w:hAnsi="Arial" w:cs="Arial"/>
                <w:color w:val="E3E3E3"/>
                <w:szCs w:val="18"/>
                <w:lang w:val="en-US"/>
              </w:rPr>
            </w:pPr>
          </w:p>
        </w:tc>
        <w:tc>
          <w:tcPr>
            <w:tcW w:w="292" w:type="pct"/>
            <w:tcBorders>
              <w:top w:val="nil"/>
              <w:left w:val="nil"/>
              <w:bottom w:val="single" w:sz="4" w:space="0" w:color="auto"/>
              <w:right w:val="single" w:sz="4" w:space="0" w:color="auto"/>
            </w:tcBorders>
            <w:shd w:val="thinReverseDiagStripe" w:color="000000" w:fill="auto"/>
            <w:noWrap/>
            <w:vAlign w:val="bottom"/>
            <w:hideMark/>
          </w:tcPr>
          <w:p w:rsidR="00227F17" w:rsidRPr="00227F17" w:rsidRDefault="00227F17" w:rsidP="004C5071">
            <w:pPr>
              <w:ind w:left="-250" w:firstLine="250"/>
              <w:rPr>
                <w:rFonts w:ascii="Arial" w:hAnsi="Arial" w:cs="Arial"/>
                <w:color w:val="E3E3E3"/>
                <w:szCs w:val="18"/>
                <w:lang w:val="en-US"/>
              </w:rPr>
            </w:pPr>
          </w:p>
        </w:tc>
        <w:tc>
          <w:tcPr>
            <w:tcW w:w="293" w:type="pct"/>
            <w:tcBorders>
              <w:top w:val="nil"/>
              <w:left w:val="nil"/>
              <w:bottom w:val="single" w:sz="4" w:space="0" w:color="auto"/>
              <w:right w:val="single" w:sz="4" w:space="0" w:color="auto"/>
            </w:tcBorders>
            <w:shd w:val="thinReverseDiagStripe" w:color="000000" w:fill="auto"/>
            <w:noWrap/>
            <w:vAlign w:val="bottom"/>
            <w:hideMark/>
          </w:tcPr>
          <w:p w:rsidR="00227F17" w:rsidRPr="00227F17" w:rsidRDefault="00227F17" w:rsidP="004C5071">
            <w:pPr>
              <w:ind w:left="-250" w:firstLine="250"/>
              <w:rPr>
                <w:rFonts w:ascii="Arial" w:hAnsi="Arial" w:cs="Arial"/>
                <w:color w:val="E3E3E3"/>
                <w:szCs w:val="18"/>
                <w:lang w:val="en-US"/>
              </w:rPr>
            </w:pPr>
          </w:p>
        </w:tc>
      </w:tr>
      <w:tr w:rsidR="00227F17" w:rsidRPr="00227F17" w:rsidTr="008D394C">
        <w:trPr>
          <w:trHeight w:val="240"/>
        </w:trPr>
        <w:tc>
          <w:tcPr>
            <w:tcW w:w="95" w:type="pct"/>
            <w:tcBorders>
              <w:top w:val="nil"/>
              <w:left w:val="single" w:sz="8" w:space="0" w:color="auto"/>
              <w:bottom w:val="single" w:sz="4" w:space="0" w:color="auto"/>
              <w:right w:val="single" w:sz="4" w:space="0" w:color="auto"/>
            </w:tcBorders>
            <w:shd w:val="clear" w:color="auto" w:fill="auto"/>
            <w:noWrap/>
            <w:vAlign w:val="center"/>
            <w:hideMark/>
          </w:tcPr>
          <w:p w:rsidR="00227F17" w:rsidRPr="00227F17" w:rsidRDefault="00227F17" w:rsidP="00B21C76">
            <w:pPr>
              <w:pStyle w:val="TableHead"/>
              <w:jc w:val="center"/>
              <w:rPr>
                <w:lang w:val="en-US"/>
              </w:rPr>
            </w:pPr>
          </w:p>
        </w:tc>
        <w:tc>
          <w:tcPr>
            <w:tcW w:w="1401" w:type="pct"/>
            <w:tcBorders>
              <w:top w:val="nil"/>
              <w:left w:val="nil"/>
              <w:bottom w:val="single" w:sz="4" w:space="0" w:color="auto"/>
              <w:right w:val="single" w:sz="4" w:space="0" w:color="auto"/>
            </w:tcBorders>
            <w:shd w:val="clear" w:color="auto" w:fill="auto"/>
            <w:vAlign w:val="center"/>
            <w:hideMark/>
          </w:tcPr>
          <w:p w:rsidR="00227F17" w:rsidRPr="00227F17" w:rsidRDefault="00227F17" w:rsidP="00B21C76">
            <w:pPr>
              <w:pStyle w:val="TableHead"/>
              <w:rPr>
                <w:sz w:val="16"/>
                <w:szCs w:val="16"/>
                <w:lang w:val="en-US"/>
              </w:rPr>
            </w:pPr>
            <w:r w:rsidRPr="00227F17">
              <w:rPr>
                <w:sz w:val="16"/>
                <w:szCs w:val="16"/>
                <w:lang w:val="en-US"/>
              </w:rPr>
              <w:t>3.6</w:t>
            </w:r>
            <w:r w:rsidR="004C5071">
              <w:rPr>
                <w:sz w:val="16"/>
                <w:szCs w:val="16"/>
                <w:lang w:val="en-US"/>
              </w:rPr>
              <w:t xml:space="preserve"> </w:t>
            </w:r>
            <w:r w:rsidRPr="00227F17">
              <w:rPr>
                <w:sz w:val="16"/>
                <w:szCs w:val="16"/>
                <w:lang w:val="en-US"/>
              </w:rPr>
              <w:t>Development</w:t>
            </w:r>
            <w:r w:rsidR="004C5071">
              <w:rPr>
                <w:sz w:val="16"/>
                <w:szCs w:val="16"/>
                <w:lang w:val="en-US"/>
              </w:rPr>
              <w:t xml:space="preserve"> </w:t>
            </w:r>
            <w:r w:rsidRPr="00227F17">
              <w:rPr>
                <w:sz w:val="16"/>
                <w:szCs w:val="16"/>
                <w:lang w:val="en-US"/>
              </w:rPr>
              <w:t>of</w:t>
            </w:r>
            <w:r w:rsidR="004C5071">
              <w:rPr>
                <w:sz w:val="16"/>
                <w:szCs w:val="16"/>
                <w:lang w:val="en-US"/>
              </w:rPr>
              <w:t xml:space="preserve"> </w:t>
            </w:r>
            <w:r w:rsidRPr="00227F17">
              <w:rPr>
                <w:sz w:val="16"/>
                <w:szCs w:val="16"/>
                <w:lang w:val="en-US"/>
              </w:rPr>
              <w:t>tech.</w:t>
            </w:r>
            <w:r w:rsidR="004C5071">
              <w:rPr>
                <w:sz w:val="16"/>
                <w:szCs w:val="16"/>
                <w:lang w:val="en-US"/>
              </w:rPr>
              <w:t xml:space="preserve"> </w:t>
            </w:r>
            <w:r w:rsidRPr="00227F17">
              <w:rPr>
                <w:sz w:val="16"/>
                <w:szCs w:val="16"/>
                <w:lang w:val="en-US"/>
              </w:rPr>
              <w:t>for</w:t>
            </w:r>
            <w:r w:rsidR="004C5071">
              <w:rPr>
                <w:sz w:val="16"/>
                <w:szCs w:val="16"/>
                <w:lang w:val="en-US"/>
              </w:rPr>
              <w:t xml:space="preserve"> </w:t>
            </w:r>
            <w:r w:rsidRPr="00227F17">
              <w:rPr>
                <w:sz w:val="16"/>
                <w:szCs w:val="16"/>
                <w:lang w:val="en-US"/>
              </w:rPr>
              <w:t>small</w:t>
            </w:r>
            <w:r w:rsidR="004C5071">
              <w:rPr>
                <w:sz w:val="16"/>
                <w:szCs w:val="16"/>
                <w:lang w:val="en-US"/>
              </w:rPr>
              <w:t xml:space="preserve"> </w:t>
            </w:r>
            <w:r w:rsidRPr="00227F17">
              <w:rPr>
                <w:sz w:val="16"/>
                <w:szCs w:val="16"/>
                <w:lang w:val="en-US"/>
              </w:rPr>
              <w:t>scale</w:t>
            </w:r>
            <w:r w:rsidR="004C5071">
              <w:rPr>
                <w:sz w:val="16"/>
                <w:szCs w:val="16"/>
                <w:lang w:val="en-US"/>
              </w:rPr>
              <w:t xml:space="preserve"> </w:t>
            </w:r>
            <w:r w:rsidRPr="00227F17">
              <w:rPr>
                <w:sz w:val="16"/>
                <w:szCs w:val="16"/>
                <w:lang w:val="en-US"/>
              </w:rPr>
              <w:t>production</w:t>
            </w: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1"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1"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thinReverseDiagStripe" w:color="000000" w:fill="auto"/>
            <w:noWrap/>
            <w:vAlign w:val="bottom"/>
            <w:hideMark/>
          </w:tcPr>
          <w:p w:rsidR="00227F17" w:rsidRPr="00227F17" w:rsidRDefault="00227F17" w:rsidP="004C5071">
            <w:pPr>
              <w:ind w:left="-250" w:firstLine="250"/>
              <w:rPr>
                <w:rFonts w:ascii="Arial" w:hAnsi="Arial" w:cs="Arial"/>
                <w:color w:val="E3E3E3"/>
                <w:szCs w:val="18"/>
                <w:lang w:val="en-US"/>
              </w:rPr>
            </w:pPr>
          </w:p>
        </w:tc>
        <w:tc>
          <w:tcPr>
            <w:tcW w:w="292" w:type="pct"/>
            <w:tcBorders>
              <w:top w:val="nil"/>
              <w:left w:val="nil"/>
              <w:bottom w:val="single" w:sz="4" w:space="0" w:color="auto"/>
              <w:right w:val="single" w:sz="4" w:space="0" w:color="auto"/>
            </w:tcBorders>
            <w:shd w:val="thinReverseDiagStripe" w:color="000000" w:fill="auto"/>
            <w:noWrap/>
            <w:vAlign w:val="bottom"/>
            <w:hideMark/>
          </w:tcPr>
          <w:p w:rsidR="00227F17" w:rsidRPr="00227F17" w:rsidRDefault="00227F17" w:rsidP="004C5071">
            <w:pPr>
              <w:ind w:left="-250" w:firstLine="250"/>
              <w:rPr>
                <w:rFonts w:ascii="Arial" w:hAnsi="Arial" w:cs="Arial"/>
                <w:color w:val="E3E3E3"/>
                <w:szCs w:val="18"/>
                <w:lang w:val="en-US"/>
              </w:rPr>
            </w:pPr>
          </w:p>
        </w:tc>
        <w:tc>
          <w:tcPr>
            <w:tcW w:w="293" w:type="pct"/>
            <w:tcBorders>
              <w:top w:val="nil"/>
              <w:left w:val="nil"/>
              <w:bottom w:val="single" w:sz="4" w:space="0" w:color="auto"/>
              <w:right w:val="single" w:sz="4" w:space="0" w:color="auto"/>
            </w:tcBorders>
            <w:shd w:val="thinReverseDiagStripe" w:color="000000" w:fill="auto"/>
            <w:noWrap/>
            <w:vAlign w:val="bottom"/>
            <w:hideMark/>
          </w:tcPr>
          <w:p w:rsidR="00227F17" w:rsidRPr="00227F17" w:rsidRDefault="00227F17" w:rsidP="004C5071">
            <w:pPr>
              <w:ind w:left="-250" w:firstLine="250"/>
              <w:rPr>
                <w:rFonts w:ascii="Arial" w:hAnsi="Arial" w:cs="Arial"/>
                <w:color w:val="E3E3E3"/>
                <w:szCs w:val="18"/>
                <w:lang w:val="en-US"/>
              </w:rPr>
            </w:pPr>
          </w:p>
        </w:tc>
      </w:tr>
      <w:tr w:rsidR="00227F17" w:rsidRPr="00227F17" w:rsidTr="008D394C">
        <w:trPr>
          <w:trHeight w:val="57"/>
        </w:trPr>
        <w:tc>
          <w:tcPr>
            <w:tcW w:w="95" w:type="pct"/>
            <w:tcBorders>
              <w:top w:val="nil"/>
              <w:left w:val="single" w:sz="8" w:space="0" w:color="auto"/>
              <w:bottom w:val="nil"/>
              <w:right w:val="nil"/>
            </w:tcBorders>
            <w:shd w:val="clear" w:color="auto" w:fill="auto"/>
            <w:noWrap/>
            <w:vAlign w:val="center"/>
            <w:hideMark/>
          </w:tcPr>
          <w:p w:rsidR="00227F17" w:rsidRPr="00227F17" w:rsidRDefault="00227F17" w:rsidP="00B21C76">
            <w:pPr>
              <w:pStyle w:val="TableHead"/>
              <w:jc w:val="center"/>
              <w:rPr>
                <w:lang w:val="en-US"/>
              </w:rPr>
            </w:pPr>
          </w:p>
        </w:tc>
        <w:tc>
          <w:tcPr>
            <w:tcW w:w="1401" w:type="pct"/>
            <w:tcBorders>
              <w:top w:val="nil"/>
              <w:left w:val="nil"/>
              <w:bottom w:val="nil"/>
              <w:right w:val="nil"/>
            </w:tcBorders>
            <w:shd w:val="clear" w:color="auto" w:fill="auto"/>
            <w:vAlign w:val="center"/>
            <w:hideMark/>
          </w:tcPr>
          <w:p w:rsidR="00227F17" w:rsidRPr="00227F17" w:rsidRDefault="00227F17" w:rsidP="00B21C76">
            <w:pPr>
              <w:pStyle w:val="TableHead"/>
              <w:rPr>
                <w:sz w:val="16"/>
                <w:szCs w:val="16"/>
                <w:lang w:val="en-US"/>
              </w:rPr>
            </w:pPr>
          </w:p>
        </w:tc>
        <w:tc>
          <w:tcPr>
            <w:tcW w:w="292" w:type="pct"/>
            <w:tcBorders>
              <w:top w:val="nil"/>
              <w:left w:val="single" w:sz="4" w:space="0" w:color="auto"/>
              <w:bottom w:val="single" w:sz="4" w:space="0" w:color="auto"/>
              <w:right w:val="nil"/>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1" w:type="pct"/>
            <w:tcBorders>
              <w:top w:val="nil"/>
              <w:left w:val="nil"/>
              <w:bottom w:val="single" w:sz="4" w:space="0" w:color="auto"/>
              <w:right w:val="nil"/>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1" w:type="pct"/>
            <w:tcBorders>
              <w:top w:val="nil"/>
              <w:left w:val="nil"/>
              <w:bottom w:val="single" w:sz="4" w:space="0" w:color="auto"/>
              <w:right w:val="nil"/>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nil"/>
              <w:right w:val="nil"/>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nil"/>
              <w:right w:val="nil"/>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nil"/>
              <w:right w:val="nil"/>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nil"/>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nil"/>
              <w:right w:val="nil"/>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nil"/>
              <w:right w:val="nil"/>
            </w:tcBorders>
            <w:shd w:val="clear" w:color="000000" w:fill="FFFFFF"/>
            <w:noWrap/>
            <w:vAlign w:val="bottom"/>
            <w:hideMark/>
          </w:tcPr>
          <w:p w:rsidR="00227F17" w:rsidRPr="00227F17" w:rsidRDefault="00227F17" w:rsidP="004C5071">
            <w:pPr>
              <w:ind w:left="-250" w:firstLine="250"/>
              <w:rPr>
                <w:rFonts w:ascii="Arial" w:hAnsi="Arial" w:cs="Arial"/>
                <w:color w:val="E3E3E3"/>
                <w:szCs w:val="18"/>
                <w:lang w:val="en-US"/>
              </w:rPr>
            </w:pPr>
          </w:p>
        </w:tc>
        <w:tc>
          <w:tcPr>
            <w:tcW w:w="292" w:type="pct"/>
            <w:tcBorders>
              <w:top w:val="nil"/>
              <w:left w:val="nil"/>
              <w:bottom w:val="nil"/>
              <w:right w:val="nil"/>
            </w:tcBorders>
            <w:shd w:val="clear" w:color="000000" w:fill="FFFFFF"/>
            <w:noWrap/>
            <w:vAlign w:val="bottom"/>
            <w:hideMark/>
          </w:tcPr>
          <w:p w:rsidR="00227F17" w:rsidRPr="00227F17" w:rsidRDefault="00227F17" w:rsidP="004C5071">
            <w:pPr>
              <w:ind w:left="-250" w:firstLine="250"/>
              <w:rPr>
                <w:rFonts w:ascii="Arial" w:hAnsi="Arial" w:cs="Arial"/>
                <w:color w:val="E3E3E3"/>
                <w:szCs w:val="18"/>
                <w:lang w:val="en-US"/>
              </w:rPr>
            </w:pPr>
          </w:p>
        </w:tc>
        <w:tc>
          <w:tcPr>
            <w:tcW w:w="293" w:type="pct"/>
            <w:tcBorders>
              <w:top w:val="nil"/>
              <w:left w:val="nil"/>
              <w:bottom w:val="nil"/>
              <w:right w:val="single" w:sz="4" w:space="0" w:color="auto"/>
            </w:tcBorders>
            <w:shd w:val="clear" w:color="000000" w:fill="FFFFFF"/>
            <w:noWrap/>
            <w:vAlign w:val="bottom"/>
            <w:hideMark/>
          </w:tcPr>
          <w:p w:rsidR="00227F17" w:rsidRPr="00227F17" w:rsidRDefault="00227F17" w:rsidP="004C5071">
            <w:pPr>
              <w:ind w:left="-250" w:firstLine="250"/>
              <w:rPr>
                <w:rFonts w:ascii="Arial" w:hAnsi="Arial" w:cs="Arial"/>
                <w:color w:val="E3E3E3"/>
                <w:szCs w:val="18"/>
                <w:lang w:val="en-US"/>
              </w:rPr>
            </w:pPr>
          </w:p>
        </w:tc>
      </w:tr>
      <w:tr w:rsidR="00227F17" w:rsidRPr="00227F17" w:rsidTr="008D394C">
        <w:trPr>
          <w:trHeight w:val="225"/>
        </w:trPr>
        <w:tc>
          <w:tcPr>
            <w:tcW w:w="95"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27F17" w:rsidRPr="00227F17" w:rsidRDefault="00B21C76" w:rsidP="00B21C76">
            <w:pPr>
              <w:pStyle w:val="TableHead"/>
              <w:jc w:val="center"/>
              <w:rPr>
                <w:lang w:val="en-US"/>
              </w:rPr>
            </w:pPr>
            <w:r>
              <w:rPr>
                <w:lang w:val="en-US"/>
              </w:rPr>
              <w:t>4</w:t>
            </w:r>
          </w:p>
        </w:tc>
        <w:tc>
          <w:tcPr>
            <w:tcW w:w="1401" w:type="pct"/>
            <w:tcBorders>
              <w:top w:val="single" w:sz="4" w:space="0" w:color="auto"/>
              <w:left w:val="nil"/>
              <w:bottom w:val="single" w:sz="4" w:space="0" w:color="auto"/>
              <w:right w:val="single" w:sz="4" w:space="0" w:color="auto"/>
            </w:tcBorders>
            <w:shd w:val="clear" w:color="auto" w:fill="auto"/>
            <w:vAlign w:val="center"/>
            <w:hideMark/>
          </w:tcPr>
          <w:p w:rsidR="00227F17" w:rsidRPr="00227F17" w:rsidRDefault="00227F17" w:rsidP="00B21C76">
            <w:pPr>
              <w:pStyle w:val="TableHead"/>
              <w:rPr>
                <w:lang w:val="en-US"/>
              </w:rPr>
            </w:pPr>
            <w:r w:rsidRPr="00227F17">
              <w:rPr>
                <w:lang w:val="en-US"/>
              </w:rPr>
              <w:t>Low</w:t>
            </w:r>
            <w:r w:rsidR="004C5071">
              <w:rPr>
                <w:lang w:val="en-US"/>
              </w:rPr>
              <w:t xml:space="preserve"> </w:t>
            </w:r>
            <w:r w:rsidRPr="00227F17">
              <w:rPr>
                <w:lang w:val="en-US"/>
              </w:rPr>
              <w:t>power</w:t>
            </w:r>
            <w:r w:rsidR="004C5071">
              <w:rPr>
                <w:lang w:val="en-US"/>
              </w:rPr>
              <w:t xml:space="preserve"> </w:t>
            </w:r>
            <w:r w:rsidRPr="00227F17">
              <w:rPr>
                <w:lang w:val="en-US"/>
              </w:rPr>
              <w:t>consumption</w:t>
            </w:r>
            <w:r w:rsidR="004C5071">
              <w:rPr>
                <w:lang w:val="en-US"/>
              </w:rPr>
              <w:t xml:space="preserve"> </w:t>
            </w:r>
            <w:r w:rsidRPr="00227F17">
              <w:rPr>
                <w:lang w:val="en-US"/>
              </w:rPr>
              <w:t>electronics</w:t>
            </w: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1"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1"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single" w:sz="4" w:space="0" w:color="auto"/>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single" w:sz="4" w:space="0" w:color="auto"/>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single" w:sz="4" w:space="0" w:color="auto"/>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single" w:sz="4" w:space="0" w:color="auto"/>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single" w:sz="4" w:space="0" w:color="auto"/>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single" w:sz="4" w:space="0" w:color="auto"/>
              <w:left w:val="nil"/>
              <w:bottom w:val="single" w:sz="4" w:space="0" w:color="auto"/>
              <w:right w:val="single" w:sz="4" w:space="0" w:color="auto"/>
            </w:tcBorders>
            <w:shd w:val="clear" w:color="000000" w:fill="FFFFFF"/>
            <w:noWrap/>
            <w:vAlign w:val="bottom"/>
            <w:hideMark/>
          </w:tcPr>
          <w:p w:rsidR="00227F17" w:rsidRPr="00227F17" w:rsidRDefault="00227F17" w:rsidP="004C5071">
            <w:pPr>
              <w:ind w:left="-250" w:firstLine="250"/>
              <w:rPr>
                <w:rFonts w:ascii="Arial" w:hAnsi="Arial" w:cs="Arial"/>
                <w:color w:val="E3E3E3"/>
                <w:szCs w:val="18"/>
                <w:lang w:val="en-US"/>
              </w:rPr>
            </w:pPr>
          </w:p>
        </w:tc>
        <w:tc>
          <w:tcPr>
            <w:tcW w:w="292" w:type="pct"/>
            <w:tcBorders>
              <w:top w:val="single" w:sz="4" w:space="0" w:color="auto"/>
              <w:left w:val="nil"/>
              <w:bottom w:val="single" w:sz="4" w:space="0" w:color="auto"/>
              <w:right w:val="single" w:sz="4" w:space="0" w:color="auto"/>
            </w:tcBorders>
            <w:shd w:val="clear" w:color="000000" w:fill="FFFFFF"/>
            <w:noWrap/>
            <w:vAlign w:val="bottom"/>
            <w:hideMark/>
          </w:tcPr>
          <w:p w:rsidR="00227F17" w:rsidRPr="00227F17" w:rsidRDefault="00227F17" w:rsidP="004C5071">
            <w:pPr>
              <w:ind w:left="-250" w:firstLine="250"/>
              <w:rPr>
                <w:rFonts w:ascii="Arial" w:hAnsi="Arial" w:cs="Arial"/>
                <w:color w:val="E3E3E3"/>
                <w:szCs w:val="18"/>
                <w:lang w:val="en-US"/>
              </w:rPr>
            </w:pPr>
          </w:p>
        </w:tc>
        <w:tc>
          <w:tcPr>
            <w:tcW w:w="293" w:type="pct"/>
            <w:tcBorders>
              <w:top w:val="single" w:sz="4" w:space="0" w:color="auto"/>
              <w:left w:val="nil"/>
              <w:bottom w:val="single" w:sz="4" w:space="0" w:color="auto"/>
              <w:right w:val="single" w:sz="4" w:space="0" w:color="auto"/>
            </w:tcBorders>
            <w:shd w:val="clear" w:color="000000" w:fill="FFFFFF"/>
            <w:noWrap/>
            <w:vAlign w:val="bottom"/>
            <w:hideMark/>
          </w:tcPr>
          <w:p w:rsidR="00227F17" w:rsidRPr="00227F17" w:rsidRDefault="00227F17" w:rsidP="004C5071">
            <w:pPr>
              <w:ind w:left="-250" w:firstLine="250"/>
              <w:rPr>
                <w:rFonts w:ascii="Arial" w:hAnsi="Arial" w:cs="Arial"/>
                <w:color w:val="E3E3E3"/>
                <w:szCs w:val="18"/>
                <w:lang w:val="en-US"/>
              </w:rPr>
            </w:pPr>
          </w:p>
        </w:tc>
      </w:tr>
      <w:tr w:rsidR="00227F17" w:rsidRPr="00227F17" w:rsidTr="008D394C">
        <w:trPr>
          <w:trHeight w:val="240"/>
        </w:trPr>
        <w:tc>
          <w:tcPr>
            <w:tcW w:w="95" w:type="pct"/>
            <w:tcBorders>
              <w:top w:val="nil"/>
              <w:left w:val="single" w:sz="8" w:space="0" w:color="auto"/>
              <w:bottom w:val="single" w:sz="4" w:space="0" w:color="auto"/>
              <w:right w:val="single" w:sz="4" w:space="0" w:color="auto"/>
            </w:tcBorders>
            <w:shd w:val="clear" w:color="auto" w:fill="auto"/>
            <w:noWrap/>
            <w:vAlign w:val="center"/>
            <w:hideMark/>
          </w:tcPr>
          <w:p w:rsidR="00227F17" w:rsidRPr="00227F17" w:rsidRDefault="00227F17" w:rsidP="00B21C76">
            <w:pPr>
              <w:pStyle w:val="TableHead"/>
              <w:jc w:val="center"/>
              <w:rPr>
                <w:lang w:val="en-US"/>
              </w:rPr>
            </w:pPr>
          </w:p>
        </w:tc>
        <w:tc>
          <w:tcPr>
            <w:tcW w:w="1401" w:type="pct"/>
            <w:tcBorders>
              <w:top w:val="nil"/>
              <w:left w:val="nil"/>
              <w:bottom w:val="single" w:sz="4" w:space="0" w:color="auto"/>
              <w:right w:val="single" w:sz="4" w:space="0" w:color="auto"/>
            </w:tcBorders>
            <w:shd w:val="clear" w:color="auto" w:fill="auto"/>
            <w:vAlign w:val="center"/>
            <w:hideMark/>
          </w:tcPr>
          <w:p w:rsidR="00227F17" w:rsidRPr="00227F17" w:rsidRDefault="00227F17" w:rsidP="00B21C76">
            <w:pPr>
              <w:pStyle w:val="TableHead"/>
              <w:rPr>
                <w:sz w:val="16"/>
                <w:szCs w:val="16"/>
                <w:lang w:val="en-US"/>
              </w:rPr>
            </w:pPr>
            <w:r w:rsidRPr="00227F17">
              <w:rPr>
                <w:sz w:val="16"/>
                <w:szCs w:val="16"/>
                <w:lang w:val="en-US"/>
              </w:rPr>
              <w:t>4.1</w:t>
            </w:r>
            <w:r w:rsidR="004C5071">
              <w:rPr>
                <w:sz w:val="16"/>
                <w:szCs w:val="16"/>
                <w:lang w:val="en-US"/>
              </w:rPr>
              <w:t xml:space="preserve"> </w:t>
            </w:r>
            <w:r w:rsidRPr="00227F17">
              <w:rPr>
                <w:sz w:val="16"/>
                <w:szCs w:val="16"/>
                <w:lang w:val="en-US"/>
              </w:rPr>
              <w:t>PT</w:t>
            </w:r>
            <w:r w:rsidR="004C5071">
              <w:rPr>
                <w:sz w:val="16"/>
                <w:szCs w:val="16"/>
                <w:lang w:val="en-US"/>
              </w:rPr>
              <w:t xml:space="preserve"> </w:t>
            </w:r>
            <w:r w:rsidRPr="00227F17">
              <w:rPr>
                <w:sz w:val="16"/>
                <w:szCs w:val="16"/>
                <w:lang w:val="en-US"/>
              </w:rPr>
              <w:t>of</w:t>
            </w:r>
            <w:r w:rsidR="004C5071">
              <w:rPr>
                <w:sz w:val="16"/>
                <w:szCs w:val="16"/>
                <w:lang w:val="en-US"/>
              </w:rPr>
              <w:t xml:space="preserve"> </w:t>
            </w:r>
            <w:r w:rsidRPr="00227F17">
              <w:rPr>
                <w:sz w:val="16"/>
                <w:szCs w:val="16"/>
                <w:lang w:val="en-US"/>
              </w:rPr>
              <w:t>low</w:t>
            </w:r>
            <w:r w:rsidR="004C5071">
              <w:rPr>
                <w:sz w:val="16"/>
                <w:szCs w:val="16"/>
                <w:lang w:val="en-US"/>
              </w:rPr>
              <w:t xml:space="preserve"> </w:t>
            </w:r>
            <w:r w:rsidRPr="00227F17">
              <w:rPr>
                <w:sz w:val="16"/>
                <w:szCs w:val="16"/>
                <w:lang w:val="en-US"/>
              </w:rPr>
              <w:t>power</w:t>
            </w:r>
            <w:r w:rsidR="004C5071">
              <w:rPr>
                <w:sz w:val="16"/>
                <w:szCs w:val="16"/>
                <w:lang w:val="en-US"/>
              </w:rPr>
              <w:t xml:space="preserve"> </w:t>
            </w:r>
            <w:r w:rsidRPr="00227F17">
              <w:rPr>
                <w:sz w:val="16"/>
                <w:szCs w:val="16"/>
                <w:lang w:val="en-US"/>
              </w:rPr>
              <w:t>discrete</w:t>
            </w:r>
            <w:r w:rsidR="004C5071">
              <w:rPr>
                <w:sz w:val="16"/>
                <w:szCs w:val="16"/>
                <w:lang w:val="en-US"/>
              </w:rPr>
              <w:t xml:space="preserve"> </w:t>
            </w:r>
            <w:r w:rsidRPr="00227F17">
              <w:rPr>
                <w:sz w:val="16"/>
                <w:szCs w:val="16"/>
                <w:lang w:val="en-US"/>
              </w:rPr>
              <w:t>electronics</w:t>
            </w:r>
          </w:p>
        </w:tc>
        <w:tc>
          <w:tcPr>
            <w:tcW w:w="292" w:type="pct"/>
            <w:tcBorders>
              <w:top w:val="nil"/>
              <w:left w:val="nil"/>
              <w:bottom w:val="single" w:sz="4" w:space="0" w:color="auto"/>
              <w:right w:val="single" w:sz="4" w:space="0" w:color="auto"/>
            </w:tcBorders>
            <w:shd w:val="thinReverseDiagStripe" w:color="000000" w:fill="auto"/>
            <w:noWrap/>
            <w:vAlign w:val="bottom"/>
            <w:hideMark/>
          </w:tcPr>
          <w:p w:rsidR="00227F17" w:rsidRPr="00227F17" w:rsidRDefault="00227F17" w:rsidP="004C5071">
            <w:pPr>
              <w:ind w:left="-250" w:firstLine="250"/>
              <w:rPr>
                <w:rFonts w:ascii="Arial" w:hAnsi="Arial" w:cs="Arial"/>
                <w:color w:val="E3E3E3"/>
                <w:szCs w:val="18"/>
                <w:lang w:val="en-US"/>
              </w:rPr>
            </w:pPr>
          </w:p>
        </w:tc>
        <w:tc>
          <w:tcPr>
            <w:tcW w:w="291" w:type="pct"/>
            <w:tcBorders>
              <w:top w:val="nil"/>
              <w:left w:val="nil"/>
              <w:bottom w:val="single" w:sz="4" w:space="0" w:color="auto"/>
              <w:right w:val="single" w:sz="4" w:space="0" w:color="auto"/>
            </w:tcBorders>
            <w:shd w:val="thinReverseDiagStripe" w:color="000000" w:fill="auto"/>
            <w:noWrap/>
            <w:vAlign w:val="bottom"/>
            <w:hideMark/>
          </w:tcPr>
          <w:p w:rsidR="00227F17" w:rsidRPr="00227F17" w:rsidRDefault="00227F17" w:rsidP="004C5071">
            <w:pPr>
              <w:ind w:left="-250" w:firstLine="250"/>
              <w:rPr>
                <w:rFonts w:ascii="Arial" w:hAnsi="Arial" w:cs="Arial"/>
                <w:color w:val="E3E3E3"/>
                <w:szCs w:val="18"/>
                <w:lang w:val="en-US"/>
              </w:rPr>
            </w:pPr>
          </w:p>
        </w:tc>
        <w:tc>
          <w:tcPr>
            <w:tcW w:w="291"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000000" w:fill="FFFFFF"/>
            <w:noWrap/>
            <w:vAlign w:val="bottom"/>
            <w:hideMark/>
          </w:tcPr>
          <w:p w:rsidR="00227F17" w:rsidRPr="00227F17" w:rsidRDefault="00227F17" w:rsidP="004C5071">
            <w:pPr>
              <w:ind w:left="-250" w:firstLine="250"/>
              <w:rPr>
                <w:rFonts w:ascii="Arial" w:hAnsi="Arial" w:cs="Arial"/>
                <w:color w:val="E3E3E3"/>
                <w:szCs w:val="18"/>
                <w:lang w:val="en-US"/>
              </w:rPr>
            </w:pPr>
          </w:p>
        </w:tc>
        <w:tc>
          <w:tcPr>
            <w:tcW w:w="292" w:type="pct"/>
            <w:tcBorders>
              <w:top w:val="nil"/>
              <w:left w:val="nil"/>
              <w:bottom w:val="single" w:sz="4" w:space="0" w:color="auto"/>
              <w:right w:val="single" w:sz="4" w:space="0" w:color="auto"/>
            </w:tcBorders>
            <w:shd w:val="clear" w:color="000000" w:fill="FFFFFF"/>
            <w:noWrap/>
            <w:vAlign w:val="bottom"/>
            <w:hideMark/>
          </w:tcPr>
          <w:p w:rsidR="00227F17" w:rsidRPr="00227F17" w:rsidRDefault="00227F17" w:rsidP="004C5071">
            <w:pPr>
              <w:ind w:left="-250" w:firstLine="250"/>
              <w:rPr>
                <w:rFonts w:ascii="Arial" w:hAnsi="Arial" w:cs="Arial"/>
                <w:color w:val="E3E3E3"/>
                <w:szCs w:val="18"/>
                <w:lang w:val="en-US"/>
              </w:rPr>
            </w:pPr>
          </w:p>
        </w:tc>
        <w:tc>
          <w:tcPr>
            <w:tcW w:w="293" w:type="pct"/>
            <w:tcBorders>
              <w:top w:val="nil"/>
              <w:left w:val="nil"/>
              <w:bottom w:val="single" w:sz="4" w:space="0" w:color="auto"/>
              <w:right w:val="single" w:sz="4" w:space="0" w:color="auto"/>
            </w:tcBorders>
            <w:shd w:val="clear" w:color="000000" w:fill="FFFFFF"/>
            <w:noWrap/>
            <w:vAlign w:val="bottom"/>
            <w:hideMark/>
          </w:tcPr>
          <w:p w:rsidR="00227F17" w:rsidRPr="00227F17" w:rsidRDefault="00227F17" w:rsidP="004C5071">
            <w:pPr>
              <w:ind w:left="-250" w:firstLine="250"/>
              <w:rPr>
                <w:rFonts w:ascii="Arial" w:hAnsi="Arial" w:cs="Arial"/>
                <w:color w:val="E3E3E3"/>
                <w:szCs w:val="18"/>
                <w:lang w:val="en-US"/>
              </w:rPr>
            </w:pPr>
          </w:p>
        </w:tc>
      </w:tr>
      <w:tr w:rsidR="00227F17" w:rsidRPr="00227F17" w:rsidTr="008D394C">
        <w:trPr>
          <w:trHeight w:val="240"/>
        </w:trPr>
        <w:tc>
          <w:tcPr>
            <w:tcW w:w="95" w:type="pct"/>
            <w:tcBorders>
              <w:top w:val="nil"/>
              <w:left w:val="single" w:sz="8" w:space="0" w:color="auto"/>
              <w:bottom w:val="single" w:sz="4" w:space="0" w:color="auto"/>
              <w:right w:val="single" w:sz="4" w:space="0" w:color="auto"/>
            </w:tcBorders>
            <w:shd w:val="clear" w:color="auto" w:fill="auto"/>
            <w:noWrap/>
            <w:vAlign w:val="center"/>
            <w:hideMark/>
          </w:tcPr>
          <w:p w:rsidR="00227F17" w:rsidRPr="00227F17" w:rsidRDefault="00227F17" w:rsidP="00B21C76">
            <w:pPr>
              <w:pStyle w:val="TableHead"/>
              <w:jc w:val="center"/>
              <w:rPr>
                <w:lang w:val="en-US"/>
              </w:rPr>
            </w:pPr>
          </w:p>
        </w:tc>
        <w:tc>
          <w:tcPr>
            <w:tcW w:w="1401" w:type="pct"/>
            <w:tcBorders>
              <w:top w:val="nil"/>
              <w:left w:val="nil"/>
              <w:bottom w:val="single" w:sz="4" w:space="0" w:color="auto"/>
              <w:right w:val="single" w:sz="4" w:space="0" w:color="auto"/>
            </w:tcBorders>
            <w:shd w:val="clear" w:color="auto" w:fill="auto"/>
            <w:vAlign w:val="center"/>
            <w:hideMark/>
          </w:tcPr>
          <w:p w:rsidR="00227F17" w:rsidRPr="00227F17" w:rsidRDefault="00227F17" w:rsidP="00B21C76">
            <w:pPr>
              <w:pStyle w:val="TableHead"/>
              <w:rPr>
                <w:sz w:val="16"/>
                <w:szCs w:val="16"/>
                <w:lang w:val="en-US"/>
              </w:rPr>
            </w:pPr>
            <w:r w:rsidRPr="00227F17">
              <w:rPr>
                <w:sz w:val="16"/>
                <w:szCs w:val="16"/>
                <w:lang w:val="en-US"/>
              </w:rPr>
              <w:t>4.2</w:t>
            </w:r>
            <w:r w:rsidR="004C5071">
              <w:rPr>
                <w:sz w:val="16"/>
                <w:szCs w:val="16"/>
                <w:lang w:val="en-US"/>
              </w:rPr>
              <w:t xml:space="preserve"> </w:t>
            </w:r>
            <w:r w:rsidRPr="00227F17">
              <w:rPr>
                <w:sz w:val="16"/>
                <w:szCs w:val="16"/>
                <w:lang w:val="en-US"/>
              </w:rPr>
              <w:t>Design</w:t>
            </w:r>
            <w:r w:rsidR="004C5071">
              <w:rPr>
                <w:sz w:val="16"/>
                <w:szCs w:val="16"/>
                <w:lang w:val="en-US"/>
              </w:rPr>
              <w:t xml:space="preserve"> </w:t>
            </w:r>
            <w:r w:rsidRPr="00227F17">
              <w:rPr>
                <w:sz w:val="16"/>
                <w:szCs w:val="16"/>
                <w:lang w:val="en-US"/>
              </w:rPr>
              <w:t>and</w:t>
            </w:r>
            <w:r w:rsidR="004C5071">
              <w:rPr>
                <w:sz w:val="16"/>
                <w:szCs w:val="16"/>
                <w:lang w:val="en-US"/>
              </w:rPr>
              <w:t xml:space="preserve"> development </w:t>
            </w:r>
            <w:r w:rsidRPr="00227F17">
              <w:rPr>
                <w:sz w:val="16"/>
                <w:szCs w:val="16"/>
                <w:lang w:val="en-US"/>
              </w:rPr>
              <w:t>of</w:t>
            </w:r>
            <w:r w:rsidR="004C5071">
              <w:rPr>
                <w:sz w:val="16"/>
                <w:szCs w:val="16"/>
                <w:lang w:val="en-US"/>
              </w:rPr>
              <w:t xml:space="preserve"> </w:t>
            </w:r>
            <w:r w:rsidRPr="00227F17">
              <w:rPr>
                <w:sz w:val="16"/>
                <w:szCs w:val="16"/>
                <w:lang w:val="en-US"/>
              </w:rPr>
              <w:t>custom</w:t>
            </w:r>
            <w:r w:rsidR="004C5071">
              <w:rPr>
                <w:sz w:val="16"/>
                <w:szCs w:val="16"/>
                <w:lang w:val="en-US"/>
              </w:rPr>
              <w:t xml:space="preserve"> </w:t>
            </w:r>
            <w:r w:rsidRPr="00227F17">
              <w:rPr>
                <w:sz w:val="16"/>
                <w:szCs w:val="16"/>
                <w:lang w:val="en-US"/>
              </w:rPr>
              <w:t>IC</w:t>
            </w: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1" w:type="pct"/>
            <w:tcBorders>
              <w:top w:val="nil"/>
              <w:left w:val="nil"/>
              <w:bottom w:val="single" w:sz="4" w:space="0" w:color="auto"/>
              <w:right w:val="single" w:sz="4" w:space="0" w:color="auto"/>
            </w:tcBorders>
            <w:shd w:val="thinReverseDiagStripe" w:color="000000" w:fill="auto"/>
            <w:noWrap/>
            <w:vAlign w:val="bottom"/>
            <w:hideMark/>
          </w:tcPr>
          <w:p w:rsidR="00227F17" w:rsidRPr="00227F17" w:rsidRDefault="00227F17" w:rsidP="004C5071">
            <w:pPr>
              <w:ind w:left="-250" w:firstLine="250"/>
              <w:rPr>
                <w:rFonts w:ascii="Arial" w:hAnsi="Arial" w:cs="Arial"/>
                <w:color w:val="E3E3E3"/>
                <w:szCs w:val="18"/>
                <w:lang w:val="en-US"/>
              </w:rPr>
            </w:pPr>
          </w:p>
        </w:tc>
        <w:tc>
          <w:tcPr>
            <w:tcW w:w="291" w:type="pct"/>
            <w:tcBorders>
              <w:top w:val="nil"/>
              <w:left w:val="nil"/>
              <w:bottom w:val="single" w:sz="4" w:space="0" w:color="auto"/>
              <w:right w:val="single" w:sz="4" w:space="0" w:color="auto"/>
            </w:tcBorders>
            <w:shd w:val="thinReverseDiagStripe" w:color="000000" w:fill="auto"/>
            <w:noWrap/>
            <w:vAlign w:val="bottom"/>
            <w:hideMark/>
          </w:tcPr>
          <w:p w:rsidR="00227F17" w:rsidRPr="00227F17" w:rsidRDefault="00227F17" w:rsidP="004C5071">
            <w:pPr>
              <w:ind w:left="-250" w:firstLine="250"/>
              <w:rPr>
                <w:rFonts w:ascii="Arial" w:hAnsi="Arial" w:cs="Arial"/>
                <w:color w:val="E3E3E3"/>
                <w:szCs w:val="18"/>
                <w:lang w:val="en-US"/>
              </w:rPr>
            </w:pPr>
          </w:p>
        </w:tc>
        <w:tc>
          <w:tcPr>
            <w:tcW w:w="292" w:type="pct"/>
            <w:tcBorders>
              <w:top w:val="nil"/>
              <w:left w:val="nil"/>
              <w:bottom w:val="single" w:sz="4" w:space="0" w:color="auto"/>
              <w:right w:val="single" w:sz="4" w:space="0" w:color="auto"/>
            </w:tcBorders>
            <w:shd w:val="thinReverseDiagStripe" w:color="000000" w:fill="auto"/>
            <w:noWrap/>
            <w:vAlign w:val="bottom"/>
            <w:hideMark/>
          </w:tcPr>
          <w:p w:rsidR="00227F17" w:rsidRPr="00227F17" w:rsidRDefault="00227F17" w:rsidP="004C5071">
            <w:pPr>
              <w:ind w:left="-250" w:firstLine="250"/>
              <w:rPr>
                <w:rFonts w:ascii="Arial" w:hAnsi="Arial" w:cs="Arial"/>
                <w:color w:val="E3E3E3"/>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000000" w:fill="FFFFFF"/>
            <w:noWrap/>
            <w:vAlign w:val="bottom"/>
            <w:hideMark/>
          </w:tcPr>
          <w:p w:rsidR="00227F17" w:rsidRPr="00227F17" w:rsidRDefault="00227F17" w:rsidP="004C5071">
            <w:pPr>
              <w:ind w:left="-250" w:firstLine="250"/>
              <w:rPr>
                <w:rFonts w:ascii="Arial" w:hAnsi="Arial" w:cs="Arial"/>
                <w:color w:val="E3E3E3"/>
                <w:szCs w:val="18"/>
                <w:lang w:val="en-US"/>
              </w:rPr>
            </w:pPr>
          </w:p>
        </w:tc>
        <w:tc>
          <w:tcPr>
            <w:tcW w:w="292" w:type="pct"/>
            <w:tcBorders>
              <w:top w:val="nil"/>
              <w:left w:val="nil"/>
              <w:bottom w:val="single" w:sz="4" w:space="0" w:color="auto"/>
              <w:right w:val="single" w:sz="4" w:space="0" w:color="auto"/>
            </w:tcBorders>
            <w:shd w:val="clear" w:color="000000" w:fill="FFFFFF"/>
            <w:noWrap/>
            <w:vAlign w:val="bottom"/>
            <w:hideMark/>
          </w:tcPr>
          <w:p w:rsidR="00227F17" w:rsidRPr="00227F17" w:rsidRDefault="00227F17" w:rsidP="004C5071">
            <w:pPr>
              <w:ind w:left="-250" w:firstLine="250"/>
              <w:rPr>
                <w:rFonts w:ascii="Arial" w:hAnsi="Arial" w:cs="Arial"/>
                <w:color w:val="E3E3E3"/>
                <w:szCs w:val="18"/>
                <w:lang w:val="en-US"/>
              </w:rPr>
            </w:pPr>
          </w:p>
        </w:tc>
        <w:tc>
          <w:tcPr>
            <w:tcW w:w="293" w:type="pct"/>
            <w:tcBorders>
              <w:top w:val="nil"/>
              <w:left w:val="nil"/>
              <w:bottom w:val="single" w:sz="4" w:space="0" w:color="auto"/>
              <w:right w:val="single" w:sz="4" w:space="0" w:color="auto"/>
            </w:tcBorders>
            <w:shd w:val="clear" w:color="000000" w:fill="FFFFFF"/>
            <w:noWrap/>
            <w:vAlign w:val="bottom"/>
            <w:hideMark/>
          </w:tcPr>
          <w:p w:rsidR="00227F17" w:rsidRPr="00227F17" w:rsidRDefault="00227F17" w:rsidP="004C5071">
            <w:pPr>
              <w:ind w:left="-250" w:firstLine="250"/>
              <w:rPr>
                <w:rFonts w:ascii="Arial" w:hAnsi="Arial" w:cs="Arial"/>
                <w:color w:val="E3E3E3"/>
                <w:szCs w:val="18"/>
                <w:lang w:val="en-US"/>
              </w:rPr>
            </w:pPr>
          </w:p>
        </w:tc>
      </w:tr>
      <w:tr w:rsidR="00227F17" w:rsidRPr="00227F17" w:rsidTr="008D394C">
        <w:trPr>
          <w:trHeight w:val="240"/>
        </w:trPr>
        <w:tc>
          <w:tcPr>
            <w:tcW w:w="95" w:type="pct"/>
            <w:tcBorders>
              <w:top w:val="nil"/>
              <w:left w:val="single" w:sz="8" w:space="0" w:color="auto"/>
              <w:bottom w:val="single" w:sz="4" w:space="0" w:color="auto"/>
              <w:right w:val="single" w:sz="4" w:space="0" w:color="auto"/>
            </w:tcBorders>
            <w:shd w:val="clear" w:color="auto" w:fill="auto"/>
            <w:noWrap/>
            <w:vAlign w:val="center"/>
            <w:hideMark/>
          </w:tcPr>
          <w:p w:rsidR="00227F17" w:rsidRPr="00227F17" w:rsidRDefault="00227F17" w:rsidP="00B21C76">
            <w:pPr>
              <w:pStyle w:val="TableHead"/>
              <w:jc w:val="center"/>
              <w:rPr>
                <w:lang w:val="en-US"/>
              </w:rPr>
            </w:pPr>
          </w:p>
        </w:tc>
        <w:tc>
          <w:tcPr>
            <w:tcW w:w="1401" w:type="pct"/>
            <w:tcBorders>
              <w:top w:val="nil"/>
              <w:left w:val="nil"/>
              <w:bottom w:val="single" w:sz="4" w:space="0" w:color="auto"/>
              <w:right w:val="single" w:sz="4" w:space="0" w:color="auto"/>
            </w:tcBorders>
            <w:shd w:val="clear" w:color="auto" w:fill="auto"/>
            <w:vAlign w:val="center"/>
            <w:hideMark/>
          </w:tcPr>
          <w:p w:rsidR="00227F17" w:rsidRPr="00227F17" w:rsidRDefault="00227F17" w:rsidP="00B21C76">
            <w:pPr>
              <w:pStyle w:val="TableHead"/>
              <w:rPr>
                <w:sz w:val="16"/>
                <w:szCs w:val="16"/>
                <w:lang w:val="en-US"/>
              </w:rPr>
            </w:pPr>
            <w:r w:rsidRPr="00227F17">
              <w:rPr>
                <w:sz w:val="16"/>
                <w:szCs w:val="16"/>
                <w:lang w:val="en-US"/>
              </w:rPr>
              <w:t>4.3</w:t>
            </w:r>
            <w:r w:rsidR="004C5071">
              <w:rPr>
                <w:sz w:val="16"/>
                <w:szCs w:val="16"/>
                <w:lang w:val="en-US"/>
              </w:rPr>
              <w:t xml:space="preserve"> </w:t>
            </w:r>
            <w:r w:rsidRPr="00227F17">
              <w:rPr>
                <w:sz w:val="16"/>
                <w:szCs w:val="16"/>
                <w:lang w:val="en-US"/>
              </w:rPr>
              <w:t>Production</w:t>
            </w:r>
            <w:r w:rsidR="004C5071">
              <w:rPr>
                <w:sz w:val="16"/>
                <w:szCs w:val="16"/>
                <w:lang w:val="en-US"/>
              </w:rPr>
              <w:t xml:space="preserve"> </w:t>
            </w:r>
            <w:r w:rsidRPr="00227F17">
              <w:rPr>
                <w:sz w:val="16"/>
                <w:szCs w:val="16"/>
                <w:lang w:val="en-US"/>
              </w:rPr>
              <w:t>PT</w:t>
            </w:r>
            <w:r w:rsidR="004C5071">
              <w:rPr>
                <w:sz w:val="16"/>
                <w:szCs w:val="16"/>
                <w:lang w:val="en-US"/>
              </w:rPr>
              <w:t xml:space="preserve"> </w:t>
            </w:r>
            <w:r w:rsidRPr="00227F17">
              <w:rPr>
                <w:sz w:val="16"/>
                <w:szCs w:val="16"/>
                <w:lang w:val="en-US"/>
              </w:rPr>
              <w:t>series</w:t>
            </w:r>
            <w:r w:rsidR="004C5071">
              <w:rPr>
                <w:sz w:val="16"/>
                <w:szCs w:val="16"/>
                <w:lang w:val="en-US"/>
              </w:rPr>
              <w:t xml:space="preserve"> </w:t>
            </w:r>
            <w:r w:rsidRPr="00227F17">
              <w:rPr>
                <w:sz w:val="16"/>
                <w:szCs w:val="16"/>
                <w:lang w:val="en-US"/>
              </w:rPr>
              <w:t>of</w:t>
            </w:r>
            <w:r w:rsidR="004C5071">
              <w:rPr>
                <w:sz w:val="16"/>
                <w:szCs w:val="16"/>
                <w:lang w:val="en-US"/>
              </w:rPr>
              <w:t xml:space="preserve"> </w:t>
            </w:r>
            <w:r w:rsidRPr="00227F17">
              <w:rPr>
                <w:sz w:val="16"/>
                <w:szCs w:val="16"/>
                <w:lang w:val="en-US"/>
              </w:rPr>
              <w:t>custom</w:t>
            </w:r>
            <w:r w:rsidR="004C5071">
              <w:rPr>
                <w:sz w:val="16"/>
                <w:szCs w:val="16"/>
                <w:lang w:val="en-US"/>
              </w:rPr>
              <w:t xml:space="preserve"> </w:t>
            </w:r>
            <w:r w:rsidRPr="00227F17">
              <w:rPr>
                <w:sz w:val="16"/>
                <w:szCs w:val="16"/>
                <w:lang w:val="en-US"/>
              </w:rPr>
              <w:t>IC</w:t>
            </w: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1"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1"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thinReverseDiagStripe" w:color="000000" w:fill="auto"/>
            <w:noWrap/>
            <w:vAlign w:val="bottom"/>
            <w:hideMark/>
          </w:tcPr>
          <w:p w:rsidR="00227F17" w:rsidRPr="00227F17" w:rsidRDefault="00227F17" w:rsidP="004C5071">
            <w:pPr>
              <w:ind w:left="-250" w:firstLine="250"/>
              <w:rPr>
                <w:rFonts w:ascii="Arial" w:hAnsi="Arial" w:cs="Arial"/>
                <w:color w:val="E3E3E3"/>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000000" w:fill="FFFFFF"/>
            <w:noWrap/>
            <w:vAlign w:val="bottom"/>
            <w:hideMark/>
          </w:tcPr>
          <w:p w:rsidR="00227F17" w:rsidRPr="00227F17" w:rsidRDefault="00227F17" w:rsidP="004C5071">
            <w:pPr>
              <w:ind w:left="-250" w:firstLine="250"/>
              <w:rPr>
                <w:rFonts w:ascii="Arial" w:hAnsi="Arial" w:cs="Arial"/>
                <w:color w:val="E3E3E3"/>
                <w:szCs w:val="18"/>
                <w:lang w:val="en-US"/>
              </w:rPr>
            </w:pPr>
          </w:p>
        </w:tc>
        <w:tc>
          <w:tcPr>
            <w:tcW w:w="292" w:type="pct"/>
            <w:tcBorders>
              <w:top w:val="nil"/>
              <w:left w:val="nil"/>
              <w:bottom w:val="single" w:sz="4" w:space="0" w:color="auto"/>
              <w:right w:val="single" w:sz="4" w:space="0" w:color="auto"/>
            </w:tcBorders>
            <w:shd w:val="clear" w:color="000000" w:fill="FFFFFF"/>
            <w:noWrap/>
            <w:vAlign w:val="bottom"/>
            <w:hideMark/>
          </w:tcPr>
          <w:p w:rsidR="00227F17" w:rsidRPr="00227F17" w:rsidRDefault="00227F17" w:rsidP="004C5071">
            <w:pPr>
              <w:ind w:left="-250" w:firstLine="250"/>
              <w:rPr>
                <w:rFonts w:ascii="Arial" w:hAnsi="Arial" w:cs="Arial"/>
                <w:color w:val="E3E3E3"/>
                <w:szCs w:val="18"/>
                <w:lang w:val="en-US"/>
              </w:rPr>
            </w:pPr>
          </w:p>
        </w:tc>
        <w:tc>
          <w:tcPr>
            <w:tcW w:w="293" w:type="pct"/>
            <w:tcBorders>
              <w:top w:val="nil"/>
              <w:left w:val="nil"/>
              <w:bottom w:val="single" w:sz="4" w:space="0" w:color="auto"/>
              <w:right w:val="single" w:sz="4" w:space="0" w:color="auto"/>
            </w:tcBorders>
            <w:shd w:val="clear" w:color="000000" w:fill="FFFFFF"/>
            <w:noWrap/>
            <w:vAlign w:val="bottom"/>
            <w:hideMark/>
          </w:tcPr>
          <w:p w:rsidR="00227F17" w:rsidRPr="00227F17" w:rsidRDefault="00227F17" w:rsidP="004C5071">
            <w:pPr>
              <w:ind w:left="-250" w:firstLine="250"/>
              <w:rPr>
                <w:rFonts w:ascii="Arial" w:hAnsi="Arial" w:cs="Arial"/>
                <w:color w:val="E3E3E3"/>
                <w:szCs w:val="18"/>
                <w:lang w:val="en-US"/>
              </w:rPr>
            </w:pPr>
          </w:p>
        </w:tc>
      </w:tr>
      <w:tr w:rsidR="00227F17" w:rsidRPr="00227F17" w:rsidTr="008D394C">
        <w:trPr>
          <w:trHeight w:val="57"/>
        </w:trPr>
        <w:tc>
          <w:tcPr>
            <w:tcW w:w="95" w:type="pct"/>
            <w:tcBorders>
              <w:top w:val="nil"/>
              <w:left w:val="single" w:sz="8" w:space="0" w:color="auto"/>
              <w:bottom w:val="nil"/>
              <w:right w:val="nil"/>
            </w:tcBorders>
            <w:shd w:val="clear" w:color="auto" w:fill="auto"/>
            <w:noWrap/>
            <w:vAlign w:val="center"/>
            <w:hideMark/>
          </w:tcPr>
          <w:p w:rsidR="00227F17" w:rsidRPr="00227F17" w:rsidRDefault="00227F17" w:rsidP="00B21C76">
            <w:pPr>
              <w:pStyle w:val="TableHead"/>
              <w:jc w:val="center"/>
              <w:rPr>
                <w:lang w:val="en-US"/>
              </w:rPr>
            </w:pPr>
          </w:p>
        </w:tc>
        <w:tc>
          <w:tcPr>
            <w:tcW w:w="1401" w:type="pct"/>
            <w:tcBorders>
              <w:top w:val="nil"/>
              <w:left w:val="nil"/>
              <w:bottom w:val="nil"/>
              <w:right w:val="nil"/>
            </w:tcBorders>
            <w:shd w:val="clear" w:color="auto" w:fill="auto"/>
            <w:vAlign w:val="center"/>
            <w:hideMark/>
          </w:tcPr>
          <w:p w:rsidR="00227F17" w:rsidRPr="00227F17" w:rsidRDefault="00227F17" w:rsidP="00B21C76">
            <w:pPr>
              <w:pStyle w:val="TableHead"/>
              <w:rPr>
                <w:lang w:val="en-US"/>
              </w:rPr>
            </w:pPr>
          </w:p>
        </w:tc>
        <w:tc>
          <w:tcPr>
            <w:tcW w:w="292" w:type="pct"/>
            <w:tcBorders>
              <w:top w:val="nil"/>
              <w:left w:val="single" w:sz="4" w:space="0" w:color="auto"/>
              <w:bottom w:val="single" w:sz="4" w:space="0" w:color="auto"/>
              <w:right w:val="nil"/>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1" w:type="pct"/>
            <w:tcBorders>
              <w:top w:val="nil"/>
              <w:left w:val="nil"/>
              <w:bottom w:val="single" w:sz="4" w:space="0" w:color="auto"/>
              <w:right w:val="nil"/>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1" w:type="pct"/>
            <w:tcBorders>
              <w:top w:val="nil"/>
              <w:left w:val="nil"/>
              <w:bottom w:val="single" w:sz="4" w:space="0" w:color="auto"/>
              <w:right w:val="nil"/>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nil"/>
              <w:right w:val="nil"/>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nil"/>
              <w:right w:val="nil"/>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nil"/>
              <w:right w:val="nil"/>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nil"/>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nil"/>
              <w:right w:val="nil"/>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nil"/>
              <w:right w:val="nil"/>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nil"/>
              <w:right w:val="nil"/>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3" w:type="pct"/>
            <w:tcBorders>
              <w:top w:val="nil"/>
              <w:left w:val="nil"/>
              <w:bottom w:val="nil"/>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r>
      <w:tr w:rsidR="00227F17" w:rsidRPr="00227F17" w:rsidTr="008D394C">
        <w:trPr>
          <w:trHeight w:val="240"/>
        </w:trPr>
        <w:tc>
          <w:tcPr>
            <w:tcW w:w="95"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27F17" w:rsidRPr="00227F17" w:rsidRDefault="00B21C76" w:rsidP="00B21C76">
            <w:pPr>
              <w:pStyle w:val="TableHead"/>
              <w:jc w:val="center"/>
              <w:rPr>
                <w:lang w:val="en-US"/>
              </w:rPr>
            </w:pPr>
            <w:r>
              <w:rPr>
                <w:lang w:val="en-US"/>
              </w:rPr>
              <w:t>5</w:t>
            </w:r>
          </w:p>
        </w:tc>
        <w:tc>
          <w:tcPr>
            <w:tcW w:w="1401" w:type="pct"/>
            <w:tcBorders>
              <w:top w:val="single" w:sz="4" w:space="0" w:color="auto"/>
              <w:left w:val="nil"/>
              <w:bottom w:val="single" w:sz="4" w:space="0" w:color="auto"/>
              <w:right w:val="single" w:sz="4" w:space="0" w:color="auto"/>
            </w:tcBorders>
            <w:shd w:val="clear" w:color="auto" w:fill="auto"/>
            <w:vAlign w:val="center"/>
            <w:hideMark/>
          </w:tcPr>
          <w:p w:rsidR="00227F17" w:rsidRPr="00227F17" w:rsidRDefault="00227F17" w:rsidP="00B21C76">
            <w:pPr>
              <w:pStyle w:val="TableHead"/>
              <w:rPr>
                <w:lang w:val="en-US"/>
              </w:rPr>
            </w:pPr>
            <w:r w:rsidRPr="00227F17">
              <w:rPr>
                <w:lang w:val="en-US"/>
              </w:rPr>
              <w:t>Implementation</w:t>
            </w:r>
            <w:r w:rsidR="004C5071">
              <w:rPr>
                <w:lang w:val="en-US"/>
              </w:rPr>
              <w:t xml:space="preserve"> </w:t>
            </w:r>
            <w:r w:rsidRPr="00227F17">
              <w:rPr>
                <w:lang w:val="en-US"/>
              </w:rPr>
              <w:t>at</w:t>
            </w:r>
            <w:r w:rsidR="004C5071">
              <w:rPr>
                <w:lang w:val="en-US"/>
              </w:rPr>
              <w:t xml:space="preserve"> </w:t>
            </w:r>
            <w:r w:rsidRPr="00227F17">
              <w:rPr>
                <w:lang w:val="en-US"/>
              </w:rPr>
              <w:t>industrial</w:t>
            </w:r>
            <w:r w:rsidR="004C5071">
              <w:rPr>
                <w:lang w:val="en-US"/>
              </w:rPr>
              <w:t xml:space="preserve"> </w:t>
            </w:r>
            <w:r w:rsidRPr="00227F17">
              <w:rPr>
                <w:lang w:val="en-US"/>
              </w:rPr>
              <w:t>end-user</w:t>
            </w: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1"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1"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single" w:sz="4" w:space="0" w:color="auto"/>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single" w:sz="4" w:space="0" w:color="auto"/>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single" w:sz="4" w:space="0" w:color="auto"/>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single" w:sz="4" w:space="0" w:color="auto"/>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single" w:sz="4" w:space="0" w:color="auto"/>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single" w:sz="4" w:space="0" w:color="auto"/>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single" w:sz="4" w:space="0" w:color="auto"/>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3" w:type="pct"/>
            <w:tcBorders>
              <w:top w:val="single" w:sz="4" w:space="0" w:color="auto"/>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r>
      <w:tr w:rsidR="00227F17" w:rsidRPr="00227F17" w:rsidTr="008D394C">
        <w:trPr>
          <w:trHeight w:val="240"/>
        </w:trPr>
        <w:tc>
          <w:tcPr>
            <w:tcW w:w="95" w:type="pct"/>
            <w:tcBorders>
              <w:top w:val="nil"/>
              <w:left w:val="single" w:sz="8" w:space="0" w:color="auto"/>
              <w:bottom w:val="single" w:sz="4" w:space="0" w:color="auto"/>
              <w:right w:val="single" w:sz="4" w:space="0" w:color="auto"/>
            </w:tcBorders>
            <w:shd w:val="clear" w:color="auto" w:fill="auto"/>
            <w:noWrap/>
            <w:vAlign w:val="center"/>
            <w:hideMark/>
          </w:tcPr>
          <w:p w:rsidR="00227F17" w:rsidRPr="00227F17" w:rsidRDefault="00227F17" w:rsidP="00B21C76">
            <w:pPr>
              <w:pStyle w:val="TableHead"/>
              <w:jc w:val="center"/>
              <w:rPr>
                <w:lang w:val="en-US"/>
              </w:rPr>
            </w:pPr>
          </w:p>
        </w:tc>
        <w:tc>
          <w:tcPr>
            <w:tcW w:w="1401" w:type="pct"/>
            <w:tcBorders>
              <w:top w:val="nil"/>
              <w:left w:val="nil"/>
              <w:bottom w:val="single" w:sz="4" w:space="0" w:color="auto"/>
              <w:right w:val="single" w:sz="4" w:space="0" w:color="auto"/>
            </w:tcBorders>
            <w:shd w:val="clear" w:color="auto" w:fill="auto"/>
            <w:vAlign w:val="center"/>
            <w:hideMark/>
          </w:tcPr>
          <w:p w:rsidR="00227F17" w:rsidRPr="00227F17" w:rsidRDefault="00227F17" w:rsidP="00B21C76">
            <w:pPr>
              <w:pStyle w:val="TableHead"/>
              <w:rPr>
                <w:sz w:val="16"/>
                <w:szCs w:val="16"/>
                <w:lang w:val="en-US"/>
              </w:rPr>
            </w:pPr>
            <w:r w:rsidRPr="00227F17">
              <w:rPr>
                <w:sz w:val="16"/>
                <w:szCs w:val="16"/>
                <w:lang w:val="en-US"/>
              </w:rPr>
              <w:t>5.1</w:t>
            </w:r>
            <w:r w:rsidR="004C5071">
              <w:rPr>
                <w:sz w:val="16"/>
                <w:szCs w:val="16"/>
                <w:lang w:val="en-US"/>
              </w:rPr>
              <w:t xml:space="preserve"> </w:t>
            </w:r>
            <w:r w:rsidRPr="00227F17">
              <w:rPr>
                <w:sz w:val="16"/>
                <w:szCs w:val="16"/>
                <w:lang w:val="en-US"/>
              </w:rPr>
              <w:t>Integration</w:t>
            </w:r>
            <w:r w:rsidR="004C5071">
              <w:rPr>
                <w:sz w:val="16"/>
                <w:szCs w:val="16"/>
                <w:lang w:val="en-US"/>
              </w:rPr>
              <w:t xml:space="preserve"> </w:t>
            </w:r>
            <w:r w:rsidRPr="00227F17">
              <w:rPr>
                <w:sz w:val="16"/>
                <w:szCs w:val="16"/>
                <w:lang w:val="en-US"/>
              </w:rPr>
              <w:t>of</w:t>
            </w:r>
            <w:r w:rsidR="004C5071">
              <w:rPr>
                <w:sz w:val="16"/>
                <w:szCs w:val="16"/>
                <w:lang w:val="en-US"/>
              </w:rPr>
              <w:t xml:space="preserve"> </w:t>
            </w:r>
            <w:r w:rsidRPr="00227F17">
              <w:rPr>
                <w:sz w:val="16"/>
                <w:szCs w:val="16"/>
                <w:lang w:val="en-US"/>
              </w:rPr>
              <w:t>NR</w:t>
            </w:r>
            <w:r w:rsidR="004C5071">
              <w:rPr>
                <w:sz w:val="16"/>
                <w:szCs w:val="16"/>
                <w:lang w:val="en-US"/>
              </w:rPr>
              <w:t xml:space="preserve"> </w:t>
            </w:r>
            <w:r w:rsidRPr="00227F17">
              <w:rPr>
                <w:sz w:val="16"/>
                <w:szCs w:val="16"/>
                <w:lang w:val="en-US"/>
              </w:rPr>
              <w:t>into</w:t>
            </w:r>
            <w:r w:rsidR="004C5071">
              <w:rPr>
                <w:sz w:val="16"/>
                <w:szCs w:val="16"/>
                <w:lang w:val="en-US"/>
              </w:rPr>
              <w:t xml:space="preserve"> manufacturing </w:t>
            </w:r>
            <w:r w:rsidRPr="00227F17">
              <w:rPr>
                <w:sz w:val="16"/>
                <w:szCs w:val="16"/>
                <w:lang w:val="en-US"/>
              </w:rPr>
              <w:t>process</w:t>
            </w: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1"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1"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thinReverseDiagStripe" w:color="000000" w:fill="auto"/>
            <w:noWrap/>
            <w:vAlign w:val="bottom"/>
            <w:hideMark/>
          </w:tcPr>
          <w:p w:rsidR="00227F17" w:rsidRPr="00227F17" w:rsidRDefault="00227F17" w:rsidP="004C5071">
            <w:pPr>
              <w:ind w:left="-250" w:firstLine="250"/>
              <w:rPr>
                <w:rFonts w:ascii="Arial" w:hAnsi="Arial" w:cs="Arial"/>
                <w:color w:val="E3E3E3"/>
                <w:szCs w:val="18"/>
                <w:lang w:val="en-US"/>
              </w:rPr>
            </w:pPr>
          </w:p>
        </w:tc>
        <w:tc>
          <w:tcPr>
            <w:tcW w:w="292" w:type="pct"/>
            <w:tcBorders>
              <w:top w:val="nil"/>
              <w:left w:val="nil"/>
              <w:bottom w:val="single" w:sz="4" w:space="0" w:color="auto"/>
              <w:right w:val="single" w:sz="4" w:space="0" w:color="auto"/>
            </w:tcBorders>
            <w:shd w:val="thinReverseDiagStripe" w:color="000000" w:fill="auto"/>
            <w:noWrap/>
            <w:vAlign w:val="bottom"/>
            <w:hideMark/>
          </w:tcPr>
          <w:p w:rsidR="00227F17" w:rsidRPr="00227F17" w:rsidRDefault="00227F17" w:rsidP="004C5071">
            <w:pPr>
              <w:ind w:left="-250" w:firstLine="250"/>
              <w:rPr>
                <w:rFonts w:ascii="Arial" w:hAnsi="Arial" w:cs="Arial"/>
                <w:color w:val="E3E3E3"/>
                <w:szCs w:val="18"/>
                <w:lang w:val="en-US"/>
              </w:rPr>
            </w:pPr>
          </w:p>
        </w:tc>
        <w:tc>
          <w:tcPr>
            <w:tcW w:w="292" w:type="pct"/>
            <w:tcBorders>
              <w:top w:val="nil"/>
              <w:left w:val="nil"/>
              <w:bottom w:val="single" w:sz="4" w:space="0" w:color="auto"/>
              <w:right w:val="single" w:sz="4" w:space="0" w:color="auto"/>
            </w:tcBorders>
            <w:shd w:val="thinReverseDiagStripe" w:color="000000" w:fill="auto"/>
            <w:noWrap/>
            <w:vAlign w:val="bottom"/>
            <w:hideMark/>
          </w:tcPr>
          <w:p w:rsidR="00227F17" w:rsidRPr="00227F17" w:rsidRDefault="00227F17" w:rsidP="004C5071">
            <w:pPr>
              <w:ind w:left="-250" w:firstLine="250"/>
              <w:rPr>
                <w:rFonts w:ascii="Arial" w:hAnsi="Arial" w:cs="Arial"/>
                <w:color w:val="E3E3E3"/>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3"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r>
      <w:tr w:rsidR="00227F17" w:rsidRPr="00227F17" w:rsidTr="008D394C">
        <w:trPr>
          <w:trHeight w:val="240"/>
        </w:trPr>
        <w:tc>
          <w:tcPr>
            <w:tcW w:w="95" w:type="pct"/>
            <w:tcBorders>
              <w:top w:val="nil"/>
              <w:left w:val="single" w:sz="8" w:space="0" w:color="auto"/>
              <w:bottom w:val="single" w:sz="4" w:space="0" w:color="auto"/>
              <w:right w:val="single" w:sz="4" w:space="0" w:color="auto"/>
            </w:tcBorders>
            <w:shd w:val="clear" w:color="auto" w:fill="auto"/>
            <w:noWrap/>
            <w:vAlign w:val="center"/>
            <w:hideMark/>
          </w:tcPr>
          <w:p w:rsidR="00227F17" w:rsidRPr="00227F17" w:rsidRDefault="00227F17" w:rsidP="00B21C76">
            <w:pPr>
              <w:pStyle w:val="TableHead"/>
              <w:jc w:val="center"/>
              <w:rPr>
                <w:lang w:val="en-US"/>
              </w:rPr>
            </w:pPr>
          </w:p>
        </w:tc>
        <w:tc>
          <w:tcPr>
            <w:tcW w:w="1401" w:type="pct"/>
            <w:tcBorders>
              <w:top w:val="nil"/>
              <w:left w:val="nil"/>
              <w:bottom w:val="single" w:sz="4" w:space="0" w:color="auto"/>
              <w:right w:val="single" w:sz="4" w:space="0" w:color="auto"/>
            </w:tcBorders>
            <w:shd w:val="clear" w:color="auto" w:fill="auto"/>
            <w:vAlign w:val="center"/>
            <w:hideMark/>
          </w:tcPr>
          <w:p w:rsidR="00227F17" w:rsidRPr="00227F17" w:rsidRDefault="00227F17" w:rsidP="00B21C76">
            <w:pPr>
              <w:pStyle w:val="TableHead"/>
              <w:rPr>
                <w:sz w:val="16"/>
                <w:szCs w:val="16"/>
                <w:lang w:val="en-US"/>
              </w:rPr>
            </w:pPr>
            <w:r w:rsidRPr="00227F17">
              <w:rPr>
                <w:sz w:val="16"/>
                <w:szCs w:val="16"/>
                <w:lang w:val="en-US"/>
              </w:rPr>
              <w:t>5.2</w:t>
            </w:r>
            <w:r w:rsidR="004C5071">
              <w:rPr>
                <w:sz w:val="16"/>
                <w:szCs w:val="16"/>
                <w:lang w:val="en-US"/>
              </w:rPr>
              <w:t xml:space="preserve"> </w:t>
            </w:r>
            <w:r w:rsidRPr="00227F17">
              <w:rPr>
                <w:sz w:val="16"/>
                <w:szCs w:val="16"/>
                <w:lang w:val="en-US"/>
              </w:rPr>
              <w:t>Production</w:t>
            </w:r>
            <w:r w:rsidR="004C5071">
              <w:rPr>
                <w:sz w:val="16"/>
                <w:szCs w:val="16"/>
                <w:lang w:val="en-US"/>
              </w:rPr>
              <w:t xml:space="preserve"> </w:t>
            </w:r>
            <w:r w:rsidRPr="00227F17">
              <w:rPr>
                <w:sz w:val="16"/>
                <w:szCs w:val="16"/>
                <w:lang w:val="en-US"/>
              </w:rPr>
              <w:t>PT</w:t>
            </w:r>
            <w:r w:rsidR="004C5071">
              <w:rPr>
                <w:sz w:val="16"/>
                <w:szCs w:val="16"/>
                <w:lang w:val="en-US"/>
              </w:rPr>
              <w:t xml:space="preserve"> </w:t>
            </w:r>
            <w:r w:rsidRPr="00227F17">
              <w:rPr>
                <w:sz w:val="16"/>
                <w:szCs w:val="16"/>
                <w:lang w:val="en-US"/>
              </w:rPr>
              <w:t>of</w:t>
            </w:r>
            <w:r w:rsidR="004C5071">
              <w:rPr>
                <w:sz w:val="16"/>
                <w:szCs w:val="16"/>
                <w:lang w:val="en-US"/>
              </w:rPr>
              <w:t xml:space="preserve"> </w:t>
            </w:r>
            <w:r w:rsidRPr="00227F17">
              <w:rPr>
                <w:sz w:val="16"/>
                <w:szCs w:val="16"/>
                <w:lang w:val="en-US"/>
              </w:rPr>
              <w:t>filter</w:t>
            </w:r>
            <w:r w:rsidR="004C5071">
              <w:rPr>
                <w:sz w:val="16"/>
                <w:szCs w:val="16"/>
                <w:lang w:val="en-US"/>
              </w:rPr>
              <w:t xml:space="preserve"> </w:t>
            </w:r>
            <w:r w:rsidRPr="00227F17">
              <w:rPr>
                <w:sz w:val="16"/>
                <w:szCs w:val="16"/>
                <w:lang w:val="en-US"/>
              </w:rPr>
              <w:t>module</w:t>
            </w:r>
            <w:r w:rsidR="004C5071">
              <w:rPr>
                <w:sz w:val="16"/>
                <w:szCs w:val="16"/>
                <w:lang w:val="en-US"/>
              </w:rPr>
              <w:t xml:space="preserve"> </w:t>
            </w:r>
            <w:r w:rsidRPr="00227F17">
              <w:rPr>
                <w:sz w:val="16"/>
                <w:szCs w:val="16"/>
                <w:lang w:val="en-US"/>
              </w:rPr>
              <w:t>with</w:t>
            </w:r>
            <w:r w:rsidR="004C5071">
              <w:rPr>
                <w:sz w:val="16"/>
                <w:szCs w:val="16"/>
                <w:lang w:val="en-US"/>
              </w:rPr>
              <w:t xml:space="preserve"> </w:t>
            </w:r>
            <w:r w:rsidRPr="00227F17">
              <w:rPr>
                <w:sz w:val="16"/>
                <w:szCs w:val="16"/>
                <w:lang w:val="en-US"/>
              </w:rPr>
              <w:t>comp.</w:t>
            </w:r>
            <w:r w:rsidR="004C5071">
              <w:rPr>
                <w:sz w:val="16"/>
                <w:szCs w:val="16"/>
                <w:lang w:val="en-US"/>
              </w:rPr>
              <w:t xml:space="preserve"> </w:t>
            </w:r>
            <w:r w:rsidRPr="00227F17">
              <w:rPr>
                <w:sz w:val="16"/>
                <w:szCs w:val="16"/>
                <w:lang w:val="en-US"/>
              </w:rPr>
              <w:t>LCD</w:t>
            </w: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1"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1"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thinReverseDiagStripe" w:color="000000" w:fill="auto"/>
            <w:noWrap/>
            <w:vAlign w:val="bottom"/>
            <w:hideMark/>
          </w:tcPr>
          <w:p w:rsidR="00227F17" w:rsidRPr="00227F17" w:rsidRDefault="00227F17" w:rsidP="004C5071">
            <w:pPr>
              <w:ind w:left="-250" w:firstLine="250"/>
              <w:rPr>
                <w:rFonts w:ascii="Arial" w:hAnsi="Arial" w:cs="Arial"/>
                <w:color w:val="E3E3E3"/>
                <w:szCs w:val="18"/>
                <w:lang w:val="en-US"/>
              </w:rPr>
            </w:pPr>
          </w:p>
        </w:tc>
        <w:tc>
          <w:tcPr>
            <w:tcW w:w="292" w:type="pct"/>
            <w:tcBorders>
              <w:top w:val="nil"/>
              <w:left w:val="nil"/>
              <w:bottom w:val="single" w:sz="4" w:space="0" w:color="auto"/>
              <w:right w:val="single" w:sz="4" w:space="0" w:color="auto"/>
            </w:tcBorders>
            <w:shd w:val="thinReverseDiagStripe" w:color="000000" w:fill="auto"/>
            <w:noWrap/>
            <w:vAlign w:val="bottom"/>
            <w:hideMark/>
          </w:tcPr>
          <w:p w:rsidR="00227F17" w:rsidRPr="00227F17" w:rsidRDefault="00227F17" w:rsidP="004C5071">
            <w:pPr>
              <w:ind w:left="-250" w:firstLine="250"/>
              <w:rPr>
                <w:rFonts w:ascii="Arial" w:hAnsi="Arial" w:cs="Arial"/>
                <w:color w:val="E3E3E3"/>
                <w:szCs w:val="18"/>
                <w:lang w:val="en-US"/>
              </w:rPr>
            </w:pPr>
          </w:p>
        </w:tc>
        <w:tc>
          <w:tcPr>
            <w:tcW w:w="292" w:type="pct"/>
            <w:tcBorders>
              <w:top w:val="nil"/>
              <w:left w:val="nil"/>
              <w:bottom w:val="single" w:sz="4" w:space="0" w:color="auto"/>
              <w:right w:val="single" w:sz="4" w:space="0" w:color="auto"/>
            </w:tcBorders>
            <w:shd w:val="thinReverseDiagStripe" w:color="000000" w:fill="auto"/>
            <w:noWrap/>
            <w:vAlign w:val="bottom"/>
            <w:hideMark/>
          </w:tcPr>
          <w:p w:rsidR="00227F17" w:rsidRPr="00227F17" w:rsidRDefault="00227F17" w:rsidP="004C5071">
            <w:pPr>
              <w:ind w:left="-250" w:firstLine="250"/>
              <w:rPr>
                <w:rFonts w:ascii="Arial" w:hAnsi="Arial" w:cs="Arial"/>
                <w:color w:val="E3E3E3"/>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3"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r>
      <w:tr w:rsidR="00227F17" w:rsidRPr="00227F17" w:rsidTr="008D394C">
        <w:trPr>
          <w:trHeight w:val="450"/>
        </w:trPr>
        <w:tc>
          <w:tcPr>
            <w:tcW w:w="95" w:type="pct"/>
            <w:tcBorders>
              <w:top w:val="nil"/>
              <w:left w:val="single" w:sz="8" w:space="0" w:color="auto"/>
              <w:bottom w:val="single" w:sz="4" w:space="0" w:color="auto"/>
              <w:right w:val="single" w:sz="4" w:space="0" w:color="auto"/>
            </w:tcBorders>
            <w:shd w:val="clear" w:color="auto" w:fill="auto"/>
            <w:noWrap/>
            <w:vAlign w:val="center"/>
            <w:hideMark/>
          </w:tcPr>
          <w:p w:rsidR="00227F17" w:rsidRPr="00227F17" w:rsidRDefault="00227F17" w:rsidP="00B21C76">
            <w:pPr>
              <w:pStyle w:val="TableHead"/>
              <w:jc w:val="center"/>
              <w:rPr>
                <w:lang w:val="en-US"/>
              </w:rPr>
            </w:pPr>
          </w:p>
        </w:tc>
        <w:tc>
          <w:tcPr>
            <w:tcW w:w="1401" w:type="pct"/>
            <w:tcBorders>
              <w:top w:val="nil"/>
              <w:left w:val="nil"/>
              <w:bottom w:val="single" w:sz="4" w:space="0" w:color="auto"/>
              <w:right w:val="single" w:sz="4" w:space="0" w:color="auto"/>
            </w:tcBorders>
            <w:shd w:val="clear" w:color="auto" w:fill="auto"/>
            <w:vAlign w:val="center"/>
            <w:hideMark/>
          </w:tcPr>
          <w:p w:rsidR="00227F17" w:rsidRPr="00227F17" w:rsidRDefault="00227F17" w:rsidP="00B21C76">
            <w:pPr>
              <w:pStyle w:val="TableHead"/>
              <w:rPr>
                <w:sz w:val="16"/>
                <w:szCs w:val="16"/>
                <w:lang w:val="en-US"/>
              </w:rPr>
            </w:pPr>
            <w:r w:rsidRPr="00227F17">
              <w:rPr>
                <w:sz w:val="16"/>
                <w:szCs w:val="16"/>
                <w:lang w:val="en-US"/>
              </w:rPr>
              <w:t>5.3</w:t>
            </w:r>
            <w:r w:rsidR="004C5071">
              <w:rPr>
                <w:sz w:val="16"/>
                <w:szCs w:val="16"/>
                <w:lang w:val="en-US"/>
              </w:rPr>
              <w:t xml:space="preserve"> </w:t>
            </w:r>
            <w:r w:rsidRPr="00227F17">
              <w:rPr>
                <w:sz w:val="16"/>
                <w:szCs w:val="16"/>
                <w:lang w:val="en-US"/>
              </w:rPr>
              <w:t>Small</w:t>
            </w:r>
            <w:r w:rsidR="004C5071">
              <w:rPr>
                <w:sz w:val="16"/>
                <w:szCs w:val="16"/>
                <w:lang w:val="en-US"/>
              </w:rPr>
              <w:t xml:space="preserve"> </w:t>
            </w:r>
            <w:r w:rsidRPr="00227F17">
              <w:rPr>
                <w:sz w:val="16"/>
                <w:szCs w:val="16"/>
                <w:lang w:val="en-US"/>
              </w:rPr>
              <w:t>scale</w:t>
            </w:r>
            <w:r w:rsidR="004C5071">
              <w:rPr>
                <w:sz w:val="16"/>
                <w:szCs w:val="16"/>
                <w:lang w:val="en-US"/>
              </w:rPr>
              <w:t xml:space="preserve"> </w:t>
            </w:r>
            <w:r w:rsidRPr="00227F17">
              <w:rPr>
                <w:sz w:val="16"/>
                <w:szCs w:val="16"/>
                <w:lang w:val="en-US"/>
              </w:rPr>
              <w:t>production</w:t>
            </w:r>
            <w:r w:rsidR="004C5071">
              <w:rPr>
                <w:sz w:val="16"/>
                <w:szCs w:val="16"/>
                <w:lang w:val="en-US"/>
              </w:rPr>
              <w:t xml:space="preserve"> </w:t>
            </w:r>
            <w:r w:rsidRPr="00227F17">
              <w:rPr>
                <w:sz w:val="16"/>
                <w:szCs w:val="16"/>
                <w:lang w:val="en-US"/>
              </w:rPr>
              <w:t>of</w:t>
            </w:r>
            <w:r w:rsidR="004C5071">
              <w:rPr>
                <w:sz w:val="16"/>
                <w:szCs w:val="16"/>
                <w:lang w:val="en-US"/>
              </w:rPr>
              <w:t xml:space="preserve"> filte</w:t>
            </w:r>
            <w:r w:rsidRPr="00227F17">
              <w:rPr>
                <w:sz w:val="16"/>
                <w:szCs w:val="16"/>
                <w:lang w:val="en-US"/>
              </w:rPr>
              <w:t>r</w:t>
            </w:r>
            <w:r w:rsidR="004C5071">
              <w:rPr>
                <w:sz w:val="16"/>
                <w:szCs w:val="16"/>
                <w:lang w:val="en-US"/>
              </w:rPr>
              <w:t xml:space="preserve"> </w:t>
            </w:r>
            <w:r w:rsidRPr="00227F17">
              <w:rPr>
                <w:sz w:val="16"/>
                <w:szCs w:val="16"/>
                <w:lang w:val="en-US"/>
              </w:rPr>
              <w:t>module</w:t>
            </w:r>
            <w:r w:rsidR="004C5071">
              <w:rPr>
                <w:sz w:val="16"/>
                <w:szCs w:val="16"/>
                <w:lang w:val="en-US"/>
              </w:rPr>
              <w:t xml:space="preserve"> </w:t>
            </w:r>
            <w:r w:rsidRPr="00227F17">
              <w:rPr>
                <w:sz w:val="16"/>
                <w:szCs w:val="16"/>
                <w:lang w:val="en-US"/>
              </w:rPr>
              <w:t>with</w:t>
            </w:r>
            <w:r w:rsidR="004C5071">
              <w:rPr>
                <w:sz w:val="16"/>
                <w:szCs w:val="16"/>
                <w:lang w:val="en-US"/>
              </w:rPr>
              <w:t xml:space="preserve"> </w:t>
            </w:r>
            <w:r w:rsidRPr="00227F17">
              <w:rPr>
                <w:sz w:val="16"/>
                <w:szCs w:val="16"/>
                <w:lang w:val="en-US"/>
              </w:rPr>
              <w:t>comp.</w:t>
            </w:r>
            <w:r w:rsidR="004C5071">
              <w:rPr>
                <w:sz w:val="16"/>
                <w:szCs w:val="16"/>
                <w:lang w:val="en-US"/>
              </w:rPr>
              <w:t xml:space="preserve"> </w:t>
            </w:r>
            <w:r w:rsidRPr="00227F17">
              <w:rPr>
                <w:sz w:val="16"/>
                <w:szCs w:val="16"/>
                <w:lang w:val="en-US"/>
              </w:rPr>
              <w:t>LCD</w:t>
            </w: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1"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1"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clear" w:color="auto" w:fill="auto"/>
            <w:noWrap/>
            <w:vAlign w:val="bottom"/>
            <w:hideMark/>
          </w:tcPr>
          <w:p w:rsidR="00227F17" w:rsidRPr="00227F17" w:rsidRDefault="00227F17" w:rsidP="004C5071">
            <w:pPr>
              <w:ind w:left="-250" w:firstLine="250"/>
              <w:rPr>
                <w:rFonts w:ascii="Arial" w:hAnsi="Arial" w:cs="Arial"/>
                <w:szCs w:val="18"/>
                <w:lang w:val="en-US"/>
              </w:rPr>
            </w:pPr>
          </w:p>
        </w:tc>
        <w:tc>
          <w:tcPr>
            <w:tcW w:w="292" w:type="pct"/>
            <w:tcBorders>
              <w:top w:val="nil"/>
              <w:left w:val="nil"/>
              <w:bottom w:val="single" w:sz="4" w:space="0" w:color="auto"/>
              <w:right w:val="single" w:sz="4" w:space="0" w:color="auto"/>
            </w:tcBorders>
            <w:shd w:val="thinReverseDiagStripe" w:color="000000" w:fill="auto"/>
            <w:noWrap/>
            <w:vAlign w:val="bottom"/>
            <w:hideMark/>
          </w:tcPr>
          <w:p w:rsidR="00227F17" w:rsidRPr="00227F17" w:rsidRDefault="00227F17" w:rsidP="004C5071">
            <w:pPr>
              <w:ind w:left="-250" w:firstLine="250"/>
              <w:rPr>
                <w:rFonts w:ascii="Arial" w:hAnsi="Arial" w:cs="Arial"/>
                <w:color w:val="E3E3E3"/>
                <w:szCs w:val="18"/>
                <w:lang w:val="en-US"/>
              </w:rPr>
            </w:pPr>
          </w:p>
        </w:tc>
        <w:tc>
          <w:tcPr>
            <w:tcW w:w="292" w:type="pct"/>
            <w:tcBorders>
              <w:top w:val="nil"/>
              <w:left w:val="nil"/>
              <w:bottom w:val="single" w:sz="4" w:space="0" w:color="auto"/>
              <w:right w:val="single" w:sz="4" w:space="0" w:color="auto"/>
            </w:tcBorders>
            <w:shd w:val="thinReverseDiagStripe" w:color="000000" w:fill="auto"/>
            <w:noWrap/>
            <w:vAlign w:val="bottom"/>
            <w:hideMark/>
          </w:tcPr>
          <w:p w:rsidR="00227F17" w:rsidRPr="00227F17" w:rsidRDefault="00227F17" w:rsidP="004C5071">
            <w:pPr>
              <w:ind w:left="-250" w:firstLine="250"/>
              <w:rPr>
                <w:rFonts w:ascii="Arial" w:hAnsi="Arial" w:cs="Arial"/>
                <w:color w:val="E3E3E3"/>
                <w:szCs w:val="18"/>
                <w:lang w:val="en-US"/>
              </w:rPr>
            </w:pPr>
          </w:p>
        </w:tc>
        <w:tc>
          <w:tcPr>
            <w:tcW w:w="292" w:type="pct"/>
            <w:tcBorders>
              <w:top w:val="nil"/>
              <w:left w:val="nil"/>
              <w:bottom w:val="single" w:sz="4" w:space="0" w:color="auto"/>
              <w:right w:val="single" w:sz="4" w:space="0" w:color="auto"/>
            </w:tcBorders>
            <w:shd w:val="thinReverseDiagStripe" w:color="000000" w:fill="auto"/>
            <w:noWrap/>
            <w:vAlign w:val="bottom"/>
            <w:hideMark/>
          </w:tcPr>
          <w:p w:rsidR="00227F17" w:rsidRPr="00227F17" w:rsidRDefault="00227F17" w:rsidP="004C5071">
            <w:pPr>
              <w:ind w:left="-250" w:firstLine="250"/>
              <w:rPr>
                <w:rFonts w:ascii="Arial" w:hAnsi="Arial" w:cs="Arial"/>
                <w:color w:val="E3E3E3"/>
                <w:szCs w:val="18"/>
                <w:lang w:val="en-US"/>
              </w:rPr>
            </w:pPr>
          </w:p>
        </w:tc>
        <w:tc>
          <w:tcPr>
            <w:tcW w:w="293" w:type="pct"/>
            <w:tcBorders>
              <w:top w:val="nil"/>
              <w:left w:val="nil"/>
              <w:bottom w:val="single" w:sz="4" w:space="0" w:color="auto"/>
              <w:right w:val="single" w:sz="4" w:space="0" w:color="auto"/>
            </w:tcBorders>
            <w:shd w:val="thinReverseDiagStripe" w:color="000000" w:fill="auto"/>
            <w:noWrap/>
            <w:vAlign w:val="bottom"/>
            <w:hideMark/>
          </w:tcPr>
          <w:p w:rsidR="00227F17" w:rsidRPr="00227F17" w:rsidRDefault="00227F17" w:rsidP="004C5071">
            <w:pPr>
              <w:ind w:left="-250" w:firstLine="250"/>
              <w:rPr>
                <w:rFonts w:ascii="Arial" w:hAnsi="Arial" w:cs="Arial"/>
                <w:color w:val="E3E3E3"/>
                <w:szCs w:val="18"/>
                <w:lang w:val="en-US"/>
              </w:rPr>
            </w:pPr>
          </w:p>
        </w:tc>
      </w:tr>
      <w:tr w:rsidR="00227F17" w:rsidRPr="00227F17" w:rsidTr="008D394C">
        <w:trPr>
          <w:cantSplit/>
          <w:trHeight w:val="778"/>
        </w:trPr>
        <w:tc>
          <w:tcPr>
            <w:tcW w:w="95" w:type="pct"/>
            <w:tcBorders>
              <w:top w:val="nil"/>
              <w:left w:val="single" w:sz="8" w:space="0" w:color="auto"/>
              <w:bottom w:val="single" w:sz="4" w:space="0" w:color="auto"/>
              <w:right w:val="nil"/>
            </w:tcBorders>
            <w:shd w:val="clear" w:color="auto" w:fill="auto"/>
            <w:noWrap/>
            <w:vAlign w:val="center"/>
            <w:hideMark/>
          </w:tcPr>
          <w:p w:rsidR="00227F17" w:rsidRPr="00227F17" w:rsidRDefault="00227F17" w:rsidP="00B21C76">
            <w:pPr>
              <w:ind w:left="-250" w:firstLine="250"/>
              <w:jc w:val="center"/>
              <w:rPr>
                <w:rFonts w:ascii="Arial" w:hAnsi="Arial" w:cs="Arial"/>
                <w:sz w:val="20"/>
                <w:lang w:val="en-US"/>
              </w:rPr>
            </w:pPr>
          </w:p>
        </w:tc>
        <w:tc>
          <w:tcPr>
            <w:tcW w:w="1401" w:type="pct"/>
            <w:tcBorders>
              <w:top w:val="nil"/>
              <w:left w:val="nil"/>
              <w:bottom w:val="single" w:sz="4" w:space="0" w:color="auto"/>
              <w:right w:val="nil"/>
            </w:tcBorders>
            <w:shd w:val="clear" w:color="auto" w:fill="auto"/>
            <w:noWrap/>
            <w:vAlign w:val="center"/>
            <w:hideMark/>
          </w:tcPr>
          <w:p w:rsidR="00227F17" w:rsidRPr="00227F17" w:rsidRDefault="00227F17" w:rsidP="00B21C76">
            <w:pPr>
              <w:pStyle w:val="Response"/>
              <w:rPr>
                <w:sz w:val="20"/>
                <w:lang w:val="en-US"/>
              </w:rPr>
            </w:pPr>
            <w:r w:rsidRPr="00227F17">
              <w:rPr>
                <w:lang w:val="en-US"/>
              </w:rPr>
              <w:t>Deliverable:</w:t>
            </w:r>
          </w:p>
        </w:tc>
        <w:tc>
          <w:tcPr>
            <w:tcW w:w="292" w:type="pct"/>
            <w:tcBorders>
              <w:top w:val="nil"/>
              <w:left w:val="single" w:sz="4" w:space="0" w:color="auto"/>
              <w:bottom w:val="single" w:sz="4" w:space="0" w:color="auto"/>
              <w:right w:val="single" w:sz="4" w:space="0" w:color="auto"/>
            </w:tcBorders>
            <w:shd w:val="clear" w:color="auto" w:fill="auto"/>
            <w:vAlign w:val="center"/>
            <w:hideMark/>
          </w:tcPr>
          <w:p w:rsidR="00227F17" w:rsidRPr="00227F17" w:rsidRDefault="00227F17" w:rsidP="00B21C76">
            <w:pPr>
              <w:pStyle w:val="Response"/>
              <w:rPr>
                <w:sz w:val="16"/>
                <w:szCs w:val="16"/>
                <w:lang w:val="en-US"/>
              </w:rPr>
            </w:pPr>
          </w:p>
        </w:tc>
        <w:tc>
          <w:tcPr>
            <w:tcW w:w="291" w:type="pct"/>
            <w:tcBorders>
              <w:top w:val="nil"/>
              <w:left w:val="nil"/>
              <w:bottom w:val="single" w:sz="4" w:space="0" w:color="auto"/>
              <w:right w:val="single" w:sz="4" w:space="0" w:color="auto"/>
            </w:tcBorders>
            <w:shd w:val="clear" w:color="auto" w:fill="auto"/>
            <w:noWrap/>
            <w:vAlign w:val="center"/>
            <w:hideMark/>
          </w:tcPr>
          <w:p w:rsidR="00227F17" w:rsidRPr="00227F17" w:rsidRDefault="00227F17" w:rsidP="00B21C76">
            <w:pPr>
              <w:pStyle w:val="Response"/>
              <w:rPr>
                <w:sz w:val="20"/>
                <w:lang w:val="en-US"/>
              </w:rPr>
            </w:pPr>
          </w:p>
        </w:tc>
        <w:tc>
          <w:tcPr>
            <w:tcW w:w="291" w:type="pct"/>
            <w:tcBorders>
              <w:top w:val="nil"/>
              <w:left w:val="nil"/>
              <w:bottom w:val="single" w:sz="4" w:space="0" w:color="auto"/>
              <w:right w:val="single" w:sz="4" w:space="0" w:color="auto"/>
            </w:tcBorders>
            <w:shd w:val="clear" w:color="auto" w:fill="auto"/>
            <w:vAlign w:val="center"/>
            <w:hideMark/>
          </w:tcPr>
          <w:p w:rsidR="00227F17" w:rsidRPr="00227F17" w:rsidRDefault="00227F17" w:rsidP="00B21C76">
            <w:pPr>
              <w:pStyle w:val="Response"/>
              <w:rPr>
                <w:sz w:val="16"/>
                <w:szCs w:val="16"/>
                <w:lang w:val="en-US"/>
              </w:rPr>
            </w:pPr>
          </w:p>
        </w:tc>
        <w:tc>
          <w:tcPr>
            <w:tcW w:w="292" w:type="pct"/>
            <w:tcBorders>
              <w:top w:val="nil"/>
              <w:left w:val="nil"/>
              <w:bottom w:val="single" w:sz="4" w:space="0" w:color="auto"/>
              <w:right w:val="single" w:sz="4" w:space="0" w:color="auto"/>
            </w:tcBorders>
            <w:shd w:val="clear" w:color="auto" w:fill="auto"/>
            <w:vAlign w:val="center"/>
            <w:hideMark/>
          </w:tcPr>
          <w:p w:rsidR="00227F17" w:rsidRPr="00227F17" w:rsidRDefault="008D394C" w:rsidP="00B21C76">
            <w:pPr>
              <w:pStyle w:val="Response"/>
              <w:rPr>
                <w:sz w:val="16"/>
                <w:szCs w:val="16"/>
                <w:lang w:val="en-US"/>
              </w:rPr>
            </w:pPr>
            <w:r>
              <w:rPr>
                <w:sz w:val="16"/>
                <w:szCs w:val="16"/>
                <w:lang w:val="en-US"/>
              </w:rPr>
              <w:t>Low power prototype</w:t>
            </w:r>
          </w:p>
        </w:tc>
        <w:tc>
          <w:tcPr>
            <w:tcW w:w="292" w:type="pct"/>
            <w:tcBorders>
              <w:top w:val="nil"/>
              <w:left w:val="nil"/>
              <w:bottom w:val="single" w:sz="4" w:space="0" w:color="auto"/>
              <w:right w:val="single" w:sz="4" w:space="0" w:color="auto"/>
            </w:tcBorders>
            <w:shd w:val="clear" w:color="auto" w:fill="auto"/>
            <w:vAlign w:val="center"/>
            <w:hideMark/>
          </w:tcPr>
          <w:p w:rsidR="00227F17" w:rsidRPr="00227F17" w:rsidRDefault="00227F17" w:rsidP="00B21C76">
            <w:pPr>
              <w:pStyle w:val="Response"/>
              <w:ind w:left="-65" w:right="-112"/>
              <w:rPr>
                <w:sz w:val="16"/>
                <w:szCs w:val="16"/>
                <w:lang w:val="en-US"/>
              </w:rPr>
            </w:pPr>
            <w:r w:rsidRPr="00227F17">
              <w:rPr>
                <w:sz w:val="16"/>
                <w:szCs w:val="16"/>
                <w:lang w:val="en-US"/>
              </w:rPr>
              <w:t>Software</w:t>
            </w:r>
            <w:r w:rsidR="00B21C76">
              <w:rPr>
                <w:sz w:val="16"/>
                <w:szCs w:val="16"/>
                <w:lang w:val="en-US"/>
              </w:rPr>
              <w:t xml:space="preserve"> </w:t>
            </w:r>
            <w:r w:rsidRPr="00227F17">
              <w:rPr>
                <w:sz w:val="16"/>
                <w:szCs w:val="16"/>
                <w:lang w:val="en-US"/>
              </w:rPr>
              <w:t>package</w:t>
            </w:r>
          </w:p>
        </w:tc>
        <w:tc>
          <w:tcPr>
            <w:tcW w:w="292" w:type="pct"/>
            <w:tcBorders>
              <w:top w:val="nil"/>
              <w:left w:val="nil"/>
              <w:bottom w:val="single" w:sz="4" w:space="0" w:color="auto"/>
              <w:right w:val="single" w:sz="4" w:space="0" w:color="auto"/>
            </w:tcBorders>
            <w:shd w:val="clear" w:color="auto" w:fill="auto"/>
            <w:vAlign w:val="center"/>
            <w:hideMark/>
          </w:tcPr>
          <w:p w:rsidR="00227F17" w:rsidRPr="00227F17" w:rsidRDefault="00B21C76" w:rsidP="00B21C76">
            <w:pPr>
              <w:pStyle w:val="Response"/>
              <w:rPr>
                <w:sz w:val="16"/>
                <w:szCs w:val="16"/>
                <w:lang w:val="en-US"/>
              </w:rPr>
            </w:pPr>
            <w:r>
              <w:rPr>
                <w:sz w:val="16"/>
                <w:szCs w:val="16"/>
                <w:lang w:val="en-US"/>
              </w:rPr>
              <w:t>Demo measurement system</w:t>
            </w:r>
          </w:p>
        </w:tc>
        <w:tc>
          <w:tcPr>
            <w:tcW w:w="292" w:type="pct"/>
            <w:tcBorders>
              <w:top w:val="nil"/>
              <w:left w:val="nil"/>
              <w:bottom w:val="single" w:sz="4" w:space="0" w:color="auto"/>
              <w:right w:val="single" w:sz="4" w:space="0" w:color="auto"/>
            </w:tcBorders>
            <w:shd w:val="clear" w:color="auto" w:fill="auto"/>
            <w:vAlign w:val="center"/>
            <w:hideMark/>
          </w:tcPr>
          <w:p w:rsidR="00227F17" w:rsidRPr="00227F17" w:rsidRDefault="00227F17" w:rsidP="00B21C76">
            <w:pPr>
              <w:pStyle w:val="Response"/>
              <w:rPr>
                <w:sz w:val="16"/>
                <w:szCs w:val="16"/>
                <w:lang w:val="en-US"/>
              </w:rPr>
            </w:pPr>
          </w:p>
        </w:tc>
        <w:tc>
          <w:tcPr>
            <w:tcW w:w="292" w:type="pct"/>
            <w:tcBorders>
              <w:top w:val="nil"/>
              <w:left w:val="nil"/>
              <w:bottom w:val="single" w:sz="4" w:space="0" w:color="auto"/>
              <w:right w:val="single" w:sz="4" w:space="0" w:color="auto"/>
            </w:tcBorders>
            <w:shd w:val="clear" w:color="auto" w:fill="auto"/>
            <w:vAlign w:val="center"/>
            <w:hideMark/>
          </w:tcPr>
          <w:p w:rsidR="00227F17" w:rsidRPr="00227F17" w:rsidRDefault="00227F17" w:rsidP="00B21C76">
            <w:pPr>
              <w:pStyle w:val="Response"/>
              <w:rPr>
                <w:sz w:val="16"/>
                <w:szCs w:val="16"/>
                <w:lang w:val="en-US"/>
              </w:rPr>
            </w:pPr>
          </w:p>
        </w:tc>
        <w:tc>
          <w:tcPr>
            <w:tcW w:w="292" w:type="pct"/>
            <w:tcBorders>
              <w:top w:val="nil"/>
              <w:left w:val="nil"/>
              <w:bottom w:val="single" w:sz="4" w:space="0" w:color="auto"/>
              <w:right w:val="single" w:sz="4" w:space="0" w:color="auto"/>
            </w:tcBorders>
            <w:shd w:val="clear" w:color="auto" w:fill="auto"/>
            <w:vAlign w:val="center"/>
            <w:hideMark/>
          </w:tcPr>
          <w:p w:rsidR="00227F17" w:rsidRPr="00227F17" w:rsidRDefault="00227F17" w:rsidP="00B21C76">
            <w:pPr>
              <w:pStyle w:val="Response"/>
              <w:rPr>
                <w:sz w:val="16"/>
                <w:szCs w:val="16"/>
                <w:lang w:val="en-US"/>
              </w:rPr>
            </w:pPr>
          </w:p>
        </w:tc>
        <w:tc>
          <w:tcPr>
            <w:tcW w:w="292" w:type="pct"/>
            <w:tcBorders>
              <w:top w:val="nil"/>
              <w:left w:val="nil"/>
              <w:bottom w:val="single" w:sz="4" w:space="0" w:color="auto"/>
              <w:right w:val="single" w:sz="4" w:space="0" w:color="auto"/>
            </w:tcBorders>
            <w:shd w:val="clear" w:color="auto" w:fill="auto"/>
            <w:vAlign w:val="center"/>
            <w:hideMark/>
          </w:tcPr>
          <w:p w:rsidR="00227F17" w:rsidRPr="00227F17" w:rsidRDefault="00227F17" w:rsidP="00B21C76">
            <w:pPr>
              <w:pStyle w:val="Response"/>
              <w:rPr>
                <w:sz w:val="16"/>
                <w:szCs w:val="16"/>
                <w:lang w:val="en-US"/>
              </w:rPr>
            </w:pPr>
          </w:p>
        </w:tc>
        <w:tc>
          <w:tcPr>
            <w:tcW w:w="292" w:type="pct"/>
            <w:tcBorders>
              <w:top w:val="nil"/>
              <w:left w:val="nil"/>
              <w:bottom w:val="single" w:sz="4" w:space="0" w:color="auto"/>
              <w:right w:val="single" w:sz="4" w:space="0" w:color="auto"/>
            </w:tcBorders>
            <w:shd w:val="clear" w:color="auto" w:fill="auto"/>
            <w:vAlign w:val="center"/>
            <w:hideMark/>
          </w:tcPr>
          <w:p w:rsidR="00227F17" w:rsidRPr="00227F17" w:rsidRDefault="00227F17" w:rsidP="00B21C76">
            <w:pPr>
              <w:pStyle w:val="Response"/>
              <w:rPr>
                <w:sz w:val="16"/>
                <w:szCs w:val="16"/>
                <w:lang w:val="en-US"/>
              </w:rPr>
            </w:pPr>
            <w:r w:rsidRPr="00227F17">
              <w:rPr>
                <w:sz w:val="16"/>
                <w:szCs w:val="16"/>
                <w:lang w:val="en-US"/>
              </w:rPr>
              <w:t>*</w:t>
            </w:r>
            <w:proofErr w:type="spellStart"/>
            <w:r w:rsidRPr="00227F17">
              <w:rPr>
                <w:sz w:val="16"/>
                <w:szCs w:val="16"/>
                <w:lang w:val="en-US"/>
              </w:rPr>
              <w:t>Prototy</w:t>
            </w:r>
            <w:proofErr w:type="spellEnd"/>
            <w:r w:rsidR="00B21C76">
              <w:rPr>
                <w:sz w:val="16"/>
                <w:szCs w:val="16"/>
                <w:lang w:val="en-US"/>
              </w:rPr>
              <w:t xml:space="preserve"> </w:t>
            </w:r>
            <w:r w:rsidRPr="00227F17">
              <w:rPr>
                <w:sz w:val="16"/>
                <w:szCs w:val="16"/>
                <w:lang w:val="en-US"/>
              </w:rPr>
              <w:t>LCD</w:t>
            </w:r>
            <w:r w:rsidR="00B21C76">
              <w:rPr>
                <w:sz w:val="16"/>
                <w:szCs w:val="16"/>
                <w:lang w:val="en-US"/>
              </w:rPr>
              <w:t xml:space="preserve"> </w:t>
            </w:r>
            <w:r w:rsidRPr="00227F17">
              <w:rPr>
                <w:sz w:val="16"/>
                <w:szCs w:val="16"/>
                <w:lang w:val="en-US"/>
              </w:rPr>
              <w:t>shutter</w:t>
            </w:r>
          </w:p>
        </w:tc>
        <w:tc>
          <w:tcPr>
            <w:tcW w:w="293" w:type="pct"/>
            <w:tcBorders>
              <w:top w:val="nil"/>
              <w:left w:val="nil"/>
              <w:bottom w:val="single" w:sz="4" w:space="0" w:color="auto"/>
              <w:right w:val="single" w:sz="4" w:space="0" w:color="auto"/>
            </w:tcBorders>
            <w:shd w:val="clear" w:color="auto" w:fill="auto"/>
            <w:vAlign w:val="center"/>
            <w:hideMark/>
          </w:tcPr>
          <w:p w:rsidR="00227F17" w:rsidRPr="00227F17" w:rsidRDefault="00227F17" w:rsidP="00B21C76">
            <w:pPr>
              <w:pStyle w:val="Response"/>
              <w:rPr>
                <w:sz w:val="16"/>
                <w:szCs w:val="16"/>
                <w:lang w:val="en-US"/>
              </w:rPr>
            </w:pPr>
            <w:r w:rsidRPr="00227F17">
              <w:rPr>
                <w:sz w:val="16"/>
                <w:szCs w:val="16"/>
                <w:lang w:val="en-US"/>
              </w:rPr>
              <w:t>Commercial</w:t>
            </w:r>
            <w:r w:rsidR="00B21C76">
              <w:rPr>
                <w:sz w:val="16"/>
                <w:szCs w:val="16"/>
                <w:lang w:val="en-US"/>
              </w:rPr>
              <w:t xml:space="preserve"> </w:t>
            </w:r>
            <w:r w:rsidRPr="00227F17">
              <w:rPr>
                <w:sz w:val="16"/>
                <w:szCs w:val="16"/>
                <w:lang w:val="en-US"/>
              </w:rPr>
              <w:t>LCD</w:t>
            </w:r>
            <w:r w:rsidR="00B21C76">
              <w:rPr>
                <w:sz w:val="16"/>
                <w:szCs w:val="16"/>
                <w:lang w:val="en-US"/>
              </w:rPr>
              <w:t xml:space="preserve"> </w:t>
            </w:r>
            <w:r w:rsidRPr="00227F17">
              <w:rPr>
                <w:sz w:val="16"/>
                <w:szCs w:val="16"/>
                <w:lang w:val="en-US"/>
              </w:rPr>
              <w:t>shutter</w:t>
            </w:r>
          </w:p>
        </w:tc>
      </w:tr>
      <w:tr w:rsidR="00227F17" w:rsidRPr="00227F17" w:rsidTr="008D394C">
        <w:trPr>
          <w:cantSplit/>
          <w:trHeight w:val="352"/>
        </w:trPr>
        <w:tc>
          <w:tcPr>
            <w:tcW w:w="95" w:type="pct"/>
            <w:tcBorders>
              <w:top w:val="single" w:sz="4" w:space="0" w:color="auto"/>
              <w:left w:val="single" w:sz="8" w:space="0" w:color="auto"/>
              <w:bottom w:val="single" w:sz="4" w:space="0" w:color="auto"/>
              <w:right w:val="nil"/>
            </w:tcBorders>
            <w:shd w:val="clear" w:color="auto" w:fill="auto"/>
            <w:noWrap/>
            <w:vAlign w:val="center"/>
            <w:hideMark/>
          </w:tcPr>
          <w:p w:rsidR="00227F17" w:rsidRPr="00227F17" w:rsidRDefault="00227F17" w:rsidP="00B21C76">
            <w:pPr>
              <w:ind w:left="-250" w:firstLine="250"/>
              <w:jc w:val="center"/>
              <w:rPr>
                <w:rFonts w:ascii="Arial" w:hAnsi="Arial" w:cs="Arial"/>
                <w:sz w:val="20"/>
                <w:lang w:val="en-US"/>
              </w:rPr>
            </w:pPr>
          </w:p>
        </w:tc>
        <w:tc>
          <w:tcPr>
            <w:tcW w:w="1401" w:type="pct"/>
            <w:tcBorders>
              <w:top w:val="single" w:sz="4" w:space="0" w:color="auto"/>
              <w:left w:val="nil"/>
              <w:bottom w:val="single" w:sz="4" w:space="0" w:color="auto"/>
              <w:right w:val="nil"/>
            </w:tcBorders>
            <w:shd w:val="clear" w:color="auto" w:fill="auto"/>
            <w:noWrap/>
            <w:vAlign w:val="center"/>
            <w:hideMark/>
          </w:tcPr>
          <w:p w:rsidR="00227F17" w:rsidRPr="00227F17" w:rsidRDefault="00B21C76" w:rsidP="00B21C76">
            <w:pPr>
              <w:pStyle w:val="Response"/>
              <w:rPr>
                <w:sz w:val="20"/>
                <w:lang w:val="en-US"/>
              </w:rPr>
            </w:pPr>
            <w:r>
              <w:rPr>
                <w:lang w:val="en-US"/>
              </w:rPr>
              <w:t xml:space="preserve">Progress </w:t>
            </w:r>
            <w:r w:rsidR="00227F17" w:rsidRPr="00227F17">
              <w:rPr>
                <w:lang w:val="en-US"/>
              </w:rPr>
              <w:t>Reporting:</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7F17" w:rsidRPr="00227F17" w:rsidRDefault="00227F17" w:rsidP="00B21C76">
            <w:pPr>
              <w:pStyle w:val="Response"/>
              <w:jc w:val="center"/>
              <w:rPr>
                <w:sz w:val="20"/>
                <w:lang w:val="en-US"/>
              </w:rPr>
            </w:pPr>
          </w:p>
        </w:tc>
        <w:tc>
          <w:tcPr>
            <w:tcW w:w="291" w:type="pct"/>
            <w:tcBorders>
              <w:top w:val="single" w:sz="4" w:space="0" w:color="auto"/>
              <w:left w:val="nil"/>
              <w:bottom w:val="single" w:sz="4" w:space="0" w:color="auto"/>
              <w:right w:val="single" w:sz="4" w:space="0" w:color="auto"/>
            </w:tcBorders>
            <w:shd w:val="clear" w:color="auto" w:fill="auto"/>
            <w:noWrap/>
            <w:vAlign w:val="center"/>
            <w:hideMark/>
          </w:tcPr>
          <w:p w:rsidR="00227F17" w:rsidRPr="00227F17" w:rsidRDefault="00227F17" w:rsidP="00B21C76">
            <w:pPr>
              <w:pStyle w:val="Response"/>
              <w:jc w:val="center"/>
              <w:rPr>
                <w:sz w:val="20"/>
                <w:lang w:val="en-US"/>
              </w:rPr>
            </w:pPr>
          </w:p>
        </w:tc>
        <w:tc>
          <w:tcPr>
            <w:tcW w:w="291" w:type="pct"/>
            <w:tcBorders>
              <w:top w:val="single" w:sz="4" w:space="0" w:color="auto"/>
              <w:left w:val="nil"/>
              <w:bottom w:val="single" w:sz="4" w:space="0" w:color="auto"/>
              <w:right w:val="single" w:sz="4" w:space="0" w:color="auto"/>
            </w:tcBorders>
            <w:shd w:val="clear" w:color="auto" w:fill="auto"/>
            <w:vAlign w:val="center"/>
            <w:hideMark/>
          </w:tcPr>
          <w:p w:rsidR="00227F17" w:rsidRPr="00227F17" w:rsidRDefault="00B21C76" w:rsidP="00B21C76">
            <w:pPr>
              <w:pStyle w:val="Response"/>
              <w:jc w:val="center"/>
              <w:rPr>
                <w:sz w:val="16"/>
                <w:szCs w:val="16"/>
                <w:lang w:val="en-US"/>
              </w:rPr>
            </w:pPr>
            <w:r>
              <w:rPr>
                <w:sz w:val="16"/>
                <w:szCs w:val="16"/>
                <w:lang w:val="en-US"/>
              </w:rPr>
              <w:t>First</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227F17" w:rsidRPr="00227F17" w:rsidRDefault="00227F17" w:rsidP="00B21C76">
            <w:pPr>
              <w:pStyle w:val="Response"/>
              <w:jc w:val="center"/>
              <w:rPr>
                <w:sz w:val="16"/>
                <w:szCs w:val="16"/>
                <w:lang w:val="en-US"/>
              </w:rPr>
            </w:pP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227F17" w:rsidRPr="00227F17" w:rsidRDefault="00B21C76" w:rsidP="00B21C76">
            <w:pPr>
              <w:pStyle w:val="Response"/>
              <w:jc w:val="center"/>
              <w:rPr>
                <w:sz w:val="16"/>
                <w:szCs w:val="16"/>
                <w:lang w:val="en-US"/>
              </w:rPr>
            </w:pPr>
            <w:r>
              <w:rPr>
                <w:sz w:val="16"/>
                <w:szCs w:val="16"/>
                <w:lang w:val="en-US"/>
              </w:rPr>
              <w:t>Second</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227F17" w:rsidRPr="00227F17" w:rsidRDefault="00227F17" w:rsidP="00B21C76">
            <w:pPr>
              <w:pStyle w:val="Response"/>
              <w:jc w:val="center"/>
              <w:rPr>
                <w:sz w:val="16"/>
                <w:szCs w:val="16"/>
                <w:lang w:val="en-US"/>
              </w:rPr>
            </w:pP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227F17" w:rsidRPr="00227F17" w:rsidRDefault="00B21C76" w:rsidP="00B21C76">
            <w:pPr>
              <w:pStyle w:val="Response"/>
              <w:jc w:val="center"/>
              <w:rPr>
                <w:sz w:val="16"/>
                <w:szCs w:val="16"/>
                <w:lang w:val="en-US"/>
              </w:rPr>
            </w:pPr>
            <w:r>
              <w:rPr>
                <w:sz w:val="16"/>
                <w:szCs w:val="16"/>
                <w:lang w:val="en-US"/>
              </w:rPr>
              <w:t>Third</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227F17" w:rsidRPr="00227F17" w:rsidRDefault="00227F17" w:rsidP="00B21C76">
            <w:pPr>
              <w:pStyle w:val="Response"/>
              <w:jc w:val="center"/>
              <w:rPr>
                <w:sz w:val="16"/>
                <w:szCs w:val="16"/>
                <w:lang w:val="en-US"/>
              </w:rPr>
            </w:pP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227F17" w:rsidRPr="00227F17" w:rsidRDefault="00B21C76" w:rsidP="00B21C76">
            <w:pPr>
              <w:pStyle w:val="Response"/>
              <w:jc w:val="center"/>
              <w:rPr>
                <w:sz w:val="16"/>
                <w:szCs w:val="16"/>
                <w:lang w:val="en-US"/>
              </w:rPr>
            </w:pPr>
            <w:r>
              <w:rPr>
                <w:sz w:val="16"/>
                <w:szCs w:val="16"/>
                <w:lang w:val="en-US"/>
              </w:rPr>
              <w:t>Fourth</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227F17" w:rsidRPr="00227F17" w:rsidRDefault="00227F17" w:rsidP="00B21C76">
            <w:pPr>
              <w:pStyle w:val="Response"/>
              <w:jc w:val="center"/>
              <w:rPr>
                <w:sz w:val="16"/>
                <w:szCs w:val="16"/>
                <w:lang w:val="en-US"/>
              </w:rPr>
            </w:pP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227F17" w:rsidRPr="00227F17" w:rsidRDefault="00B21C76" w:rsidP="00B21C76">
            <w:pPr>
              <w:pStyle w:val="Response"/>
              <w:jc w:val="center"/>
              <w:rPr>
                <w:sz w:val="16"/>
                <w:szCs w:val="16"/>
                <w:lang w:val="en-US"/>
              </w:rPr>
            </w:pPr>
            <w:r>
              <w:rPr>
                <w:sz w:val="16"/>
                <w:szCs w:val="16"/>
                <w:lang w:val="en-US"/>
              </w:rPr>
              <w:t>Fifth</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227F17" w:rsidRPr="00227F17" w:rsidRDefault="00B21C76" w:rsidP="00B21C76">
            <w:pPr>
              <w:pStyle w:val="Response"/>
              <w:jc w:val="center"/>
              <w:rPr>
                <w:sz w:val="16"/>
                <w:szCs w:val="16"/>
                <w:lang w:val="en-US"/>
              </w:rPr>
            </w:pPr>
            <w:r>
              <w:rPr>
                <w:sz w:val="16"/>
                <w:szCs w:val="16"/>
                <w:lang w:val="en-US"/>
              </w:rPr>
              <w:t>Final</w:t>
            </w:r>
          </w:p>
        </w:tc>
      </w:tr>
    </w:tbl>
    <w:p w:rsidR="00227F17" w:rsidRDefault="008D394C" w:rsidP="001E0017">
      <w:pPr>
        <w:pStyle w:val="Body"/>
        <w:spacing w:after="0"/>
        <w:rPr>
          <w:lang w:val="en-US"/>
        </w:rPr>
      </w:pPr>
      <w:r>
        <w:rPr>
          <w:lang w:val="en-US"/>
        </w:rPr>
        <w:t>This table is provided as an example only; please feel free to use it or a format of your own design. Your schedule should be as detailed and as clear as possible.</w:t>
      </w:r>
    </w:p>
    <w:p w:rsidR="001E0017" w:rsidRDefault="001E0017" w:rsidP="008D394C">
      <w:pPr>
        <w:pStyle w:val="Body"/>
        <w:spacing w:before="120" w:after="0"/>
        <w:rPr>
          <w:lang w:val="en-US"/>
        </w:rPr>
        <w:sectPr w:rsidR="001E0017" w:rsidSect="00227F17">
          <w:footnotePr>
            <w:numFmt w:val="chicago"/>
            <w:numRestart w:val="eachPage"/>
          </w:footnotePr>
          <w:pgSz w:w="15840" w:h="12240" w:orient="landscape" w:code="1"/>
          <w:pgMar w:top="907" w:right="340" w:bottom="907" w:left="340" w:header="720" w:footer="720" w:gutter="0"/>
          <w:pgNumType w:start="1"/>
          <w:cols w:space="720"/>
          <w:titlePg/>
          <w:docGrid w:linePitch="245"/>
        </w:sectPr>
      </w:pPr>
    </w:p>
    <w:tbl>
      <w:tblPr>
        <w:tblW w:w="0" w:type="auto"/>
        <w:jc w:val="center"/>
        <w:tblInd w:w="108" w:type="dxa"/>
        <w:tblBorders>
          <w:bottom w:val="single" w:sz="4" w:space="0" w:color="auto"/>
        </w:tblBorders>
        <w:tblLayout w:type="fixed"/>
        <w:tblCellMar>
          <w:bottom w:w="142" w:type="dxa"/>
        </w:tblCellMar>
        <w:tblLook w:val="0000"/>
      </w:tblPr>
      <w:tblGrid>
        <w:gridCol w:w="993"/>
        <w:gridCol w:w="9355"/>
      </w:tblGrid>
      <w:tr w:rsidR="001E0017" w:rsidRPr="00ED3C77" w:rsidTr="00122CEF">
        <w:trPr>
          <w:trHeight w:val="1881"/>
          <w:jc w:val="center"/>
        </w:trPr>
        <w:tc>
          <w:tcPr>
            <w:tcW w:w="993" w:type="dxa"/>
            <w:vAlign w:val="center"/>
          </w:tcPr>
          <w:p w:rsidR="001E0017" w:rsidRPr="00ED3C77" w:rsidRDefault="001E0017" w:rsidP="00122CEF">
            <w:pPr>
              <w:jc w:val="center"/>
              <w:rPr>
                <w:b/>
                <w:bCs/>
              </w:rPr>
            </w:pPr>
            <w:bookmarkStart w:id="44" w:name="Annex7Criteria"/>
            <w:bookmarkEnd w:id="44"/>
            <w:r>
              <w:rPr>
                <w:b/>
                <w:bCs/>
                <w:noProof/>
                <w:lang w:val="en-US"/>
              </w:rPr>
              <w:drawing>
                <wp:inline distT="0" distB="0" distL="0" distR="0">
                  <wp:extent cx="581025" cy="1162050"/>
                  <wp:effectExtent l="19050" t="0" r="9525"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81025" cy="1162050"/>
                          </a:xfrm>
                          <a:prstGeom prst="rect">
                            <a:avLst/>
                          </a:prstGeom>
                          <a:noFill/>
                          <a:ln w="9525">
                            <a:noFill/>
                            <a:miter lim="800000"/>
                            <a:headEnd/>
                            <a:tailEnd/>
                          </a:ln>
                        </pic:spPr>
                      </pic:pic>
                    </a:graphicData>
                  </a:graphic>
                </wp:inline>
              </w:drawing>
            </w:r>
          </w:p>
        </w:tc>
        <w:tc>
          <w:tcPr>
            <w:tcW w:w="9355" w:type="dxa"/>
            <w:vAlign w:val="center"/>
          </w:tcPr>
          <w:p w:rsidR="001E0017" w:rsidRPr="00ED3C77" w:rsidRDefault="001E0017" w:rsidP="00122CEF">
            <w:pPr>
              <w:spacing w:after="120"/>
              <w:jc w:val="center"/>
              <w:rPr>
                <w:b/>
                <w:bCs/>
                <w:color w:val="3487C8"/>
                <w:sz w:val="22"/>
                <w:szCs w:val="22"/>
              </w:rPr>
            </w:pPr>
            <w:r w:rsidRPr="00ED3C77">
              <w:rPr>
                <w:b/>
                <w:bCs/>
                <w:color w:val="3487C8"/>
                <w:sz w:val="22"/>
                <w:szCs w:val="22"/>
              </w:rPr>
              <w:t>Emerging Security Challenges Division</w:t>
            </w:r>
          </w:p>
          <w:p w:rsidR="001E0017" w:rsidRPr="00ED3C77" w:rsidRDefault="001E0017" w:rsidP="00122CEF">
            <w:pPr>
              <w:spacing w:after="200"/>
              <w:jc w:val="center"/>
              <w:rPr>
                <w:b/>
                <w:bCs/>
                <w:color w:val="3487C8"/>
                <w:sz w:val="28"/>
                <w:szCs w:val="28"/>
              </w:rPr>
            </w:pPr>
            <w:r w:rsidRPr="00ED3C77">
              <w:rPr>
                <w:b/>
                <w:bCs/>
                <w:color w:val="3487C8"/>
                <w:sz w:val="28"/>
                <w:szCs w:val="28"/>
              </w:rPr>
              <w:t>Science for Peace and Security Programme</w:t>
            </w:r>
          </w:p>
          <w:p w:rsidR="001E0017" w:rsidRPr="00A81605" w:rsidRDefault="001E0017" w:rsidP="00122CEF">
            <w:pPr>
              <w:jc w:val="center"/>
              <w:rPr>
                <w:rFonts w:ascii="Arial" w:hAnsi="Arial" w:cs="Arial"/>
                <w:b/>
                <w:sz w:val="28"/>
                <w:szCs w:val="28"/>
              </w:rPr>
            </w:pPr>
            <w:r w:rsidRPr="00F07247">
              <w:rPr>
                <w:rFonts w:ascii="Arial" w:hAnsi="Arial" w:cs="Arial"/>
                <w:b/>
                <w:bCs/>
                <w:color w:val="00408B"/>
                <w:sz w:val="28"/>
                <w:szCs w:val="28"/>
              </w:rPr>
              <w:t>Guidelines for Applicants</w:t>
            </w:r>
            <w:r>
              <w:rPr>
                <w:rFonts w:ascii="Arial" w:hAnsi="Arial" w:cs="Arial"/>
                <w:b/>
                <w:bCs/>
                <w:color w:val="00408B"/>
                <w:sz w:val="28"/>
                <w:szCs w:val="28"/>
              </w:rPr>
              <w:t xml:space="preserve"> – Project Plan</w:t>
            </w:r>
          </w:p>
          <w:p w:rsidR="001E0017" w:rsidRPr="00A81605" w:rsidRDefault="001E0017" w:rsidP="00122CEF">
            <w:pPr>
              <w:pStyle w:val="Heading1"/>
              <w:spacing w:before="0"/>
              <w:jc w:val="center"/>
              <w:rPr>
                <w:sz w:val="28"/>
                <w:szCs w:val="28"/>
              </w:rPr>
            </w:pPr>
            <w:bookmarkStart w:id="45" w:name="_Toc341274834"/>
            <w:r w:rsidRPr="00A81605">
              <w:rPr>
                <w:sz w:val="28"/>
                <w:szCs w:val="28"/>
              </w:rPr>
              <w:t xml:space="preserve">ANNEX </w:t>
            </w:r>
            <w:r w:rsidR="004D7616">
              <w:rPr>
                <w:sz w:val="28"/>
                <w:szCs w:val="28"/>
              </w:rPr>
              <w:t>6</w:t>
            </w:r>
            <w:r w:rsidRPr="00A81605">
              <w:rPr>
                <w:sz w:val="28"/>
                <w:szCs w:val="28"/>
              </w:rPr>
              <w:t xml:space="preserve">: </w:t>
            </w:r>
            <w:r>
              <w:rPr>
                <w:sz w:val="28"/>
                <w:szCs w:val="28"/>
              </w:rPr>
              <w:t>Example Criteria for Success</w:t>
            </w:r>
            <w:bookmarkEnd w:id="45"/>
          </w:p>
          <w:p w:rsidR="001E0017" w:rsidRPr="00ED3C77" w:rsidRDefault="001E0017" w:rsidP="00122CEF">
            <w:pPr>
              <w:jc w:val="center"/>
              <w:rPr>
                <w:b/>
                <w:bCs/>
              </w:rPr>
            </w:pPr>
            <w:r w:rsidRPr="00ED3C77">
              <w:rPr>
                <w:szCs w:val="18"/>
              </w:rPr>
              <w:t xml:space="preserve">NATO Emerging Security Challenges Division, SPS Programme, Bd. Léopold </w:t>
            </w:r>
            <w:smartTag w:uri="urn:schemas-microsoft-com:office:smarttags" w:element="stockticker">
              <w:r w:rsidRPr="00ED3C77">
                <w:rPr>
                  <w:szCs w:val="18"/>
                </w:rPr>
                <w:t>III</w:t>
              </w:r>
            </w:smartTag>
            <w:r w:rsidRPr="00ED3C77">
              <w:rPr>
                <w:szCs w:val="18"/>
              </w:rPr>
              <w:t xml:space="preserve">, </w:t>
            </w:r>
            <w:r w:rsidRPr="00ED3C77" w:rsidDel="00C17795">
              <w:rPr>
                <w:szCs w:val="18"/>
              </w:rPr>
              <w:t>B-</w:t>
            </w:r>
            <w:r w:rsidRPr="00ED3C77">
              <w:rPr>
                <w:szCs w:val="18"/>
              </w:rPr>
              <w:t>1110 Brussels, Belgium</w:t>
            </w:r>
          </w:p>
        </w:tc>
      </w:tr>
    </w:tbl>
    <w:p w:rsidR="00122CEF" w:rsidRDefault="00122CEF" w:rsidP="00122CEF">
      <w:pPr>
        <w:pStyle w:val="Body"/>
      </w:pPr>
      <w:r>
        <w:t xml:space="preserve">The Project Plan shall contain clearly expressed Criteria for Success describing, </w:t>
      </w:r>
      <w:r w:rsidRPr="00122CEF">
        <w:rPr>
          <w:i/>
        </w:rPr>
        <w:t xml:space="preserve">in </w:t>
      </w:r>
      <w:r>
        <w:rPr>
          <w:i/>
        </w:rPr>
        <w:t>quantitative terms</w:t>
      </w:r>
      <w:r>
        <w:t xml:space="preserve">, what will have been accomplished as a result of the project’s successful completion. </w:t>
      </w:r>
      <w:r w:rsidRPr="00122CEF">
        <w:rPr>
          <w:i/>
        </w:rPr>
        <w:t>These criteria must be related to the objectives</w:t>
      </w:r>
      <w:r>
        <w:t>, but should not merely be a re-statement of them. This concise, quantitative list of outcomes will form the basis for evaluation at the end of the Project and beyond.</w:t>
      </w:r>
    </w:p>
    <w:p w:rsidR="00122CEF" w:rsidRDefault="00122CEF" w:rsidP="00122CEF">
      <w:pPr>
        <w:pStyle w:val="Body"/>
      </w:pPr>
      <w:r>
        <w:t>The criteria, usually not more than 4 to 7, should be presented in a weighted table, as seen in the Project Plan template, expressing the relative importance of each one.</w:t>
      </w:r>
      <w:r w:rsidR="00F51C80">
        <w:t xml:space="preserve"> </w:t>
      </w:r>
      <w:r>
        <w:t xml:space="preserve">Examples of 'Criteria for Success' tables are given below. </w:t>
      </w:r>
    </w:p>
    <w:p w:rsidR="001E0017" w:rsidRPr="00F06DF1" w:rsidRDefault="00122CEF" w:rsidP="00F06DF1">
      <w:pPr>
        <w:jc w:val="center"/>
        <w:rPr>
          <w:rFonts w:ascii="Arial" w:hAnsi="Arial" w:cs="Arial"/>
          <w:b/>
          <w:sz w:val="28"/>
          <w:szCs w:val="28"/>
        </w:rPr>
      </w:pPr>
      <w:r w:rsidRPr="00F06DF1">
        <w:rPr>
          <w:rFonts w:ascii="Arial" w:hAnsi="Arial" w:cs="Arial"/>
          <w:b/>
          <w:sz w:val="28"/>
          <w:szCs w:val="28"/>
        </w:rPr>
        <w:t>Example 1</w:t>
      </w:r>
    </w:p>
    <w:tbl>
      <w:tblPr>
        <w:tblStyle w:val="TableGrid"/>
        <w:tblW w:w="10348" w:type="dxa"/>
        <w:jc w:val="center"/>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Look w:val="01E0"/>
      </w:tblPr>
      <w:tblGrid>
        <w:gridCol w:w="9214"/>
        <w:gridCol w:w="1134"/>
      </w:tblGrid>
      <w:tr w:rsidR="00122CEF" w:rsidRPr="00ED3C77" w:rsidTr="00122CEF">
        <w:trPr>
          <w:jc w:val="center"/>
        </w:trPr>
        <w:tc>
          <w:tcPr>
            <w:tcW w:w="9214" w:type="dxa"/>
            <w:tcBorders>
              <w:top w:val="single" w:sz="4" w:space="0" w:color="999999"/>
              <w:bottom w:val="double" w:sz="4" w:space="0" w:color="999999"/>
            </w:tcBorders>
            <w:vAlign w:val="center"/>
          </w:tcPr>
          <w:p w:rsidR="00122CEF" w:rsidRPr="00ED3C77" w:rsidRDefault="00122CEF" w:rsidP="00122CEF">
            <w:pPr>
              <w:pStyle w:val="TableHead"/>
              <w:keepNext/>
              <w:keepLines/>
              <w:jc w:val="center"/>
            </w:pPr>
            <w:r>
              <w:t>C</w:t>
            </w:r>
            <w:r w:rsidRPr="00ED3C77">
              <w:t>riterion</w:t>
            </w:r>
          </w:p>
        </w:tc>
        <w:tc>
          <w:tcPr>
            <w:tcW w:w="1134" w:type="dxa"/>
            <w:tcBorders>
              <w:top w:val="single" w:sz="4" w:space="0" w:color="999999"/>
              <w:bottom w:val="double" w:sz="4" w:space="0" w:color="999999"/>
            </w:tcBorders>
            <w:vAlign w:val="center"/>
          </w:tcPr>
          <w:p w:rsidR="00122CEF" w:rsidRPr="00ED3C77" w:rsidRDefault="00122CEF" w:rsidP="00122CEF">
            <w:pPr>
              <w:pStyle w:val="TableHead"/>
              <w:keepNext/>
              <w:keepLines/>
              <w:jc w:val="center"/>
            </w:pPr>
            <w:r>
              <w:t>R</w:t>
            </w:r>
            <w:r w:rsidRPr="00ED3C77">
              <w:t xml:space="preserve">elative </w:t>
            </w:r>
            <w:r>
              <w:t>W</w:t>
            </w:r>
            <w:r w:rsidRPr="00ED3C77">
              <w:t>eight</w:t>
            </w:r>
          </w:p>
        </w:tc>
      </w:tr>
      <w:tr w:rsidR="00122CEF" w:rsidRPr="00ED3C77" w:rsidTr="008C18EE">
        <w:trPr>
          <w:jc w:val="center"/>
        </w:trPr>
        <w:tc>
          <w:tcPr>
            <w:tcW w:w="9214" w:type="dxa"/>
          </w:tcPr>
          <w:p w:rsidR="00122CEF" w:rsidRDefault="00122CEF" w:rsidP="00122CEF">
            <w:pPr>
              <w:pStyle w:val="Response"/>
              <w:keepNext/>
              <w:keepLines/>
            </w:pPr>
            <w:r>
              <w:t>Development of a</w:t>
            </w:r>
            <w:r w:rsidR="002109F1">
              <w:t>n affordable (&lt; €10/tool)</w:t>
            </w:r>
            <w:r>
              <w:t xml:space="preserve"> technology for</w:t>
            </w:r>
            <w:r w:rsidR="002109F1">
              <w:t xml:space="preserve"> high quality (&gt;85% acceptance rate)</w:t>
            </w:r>
            <w:r>
              <w:t xml:space="preserve"> </w:t>
            </w:r>
            <w:proofErr w:type="spellStart"/>
            <w:r>
              <w:t>TiN</w:t>
            </w:r>
            <w:proofErr w:type="spellEnd"/>
            <w:r>
              <w:t xml:space="preserve"> and </w:t>
            </w:r>
            <w:proofErr w:type="spellStart"/>
            <w:r>
              <w:t>TiCN</w:t>
            </w:r>
            <w:proofErr w:type="spellEnd"/>
            <w:r>
              <w:t xml:space="preserve"> coating of cutting tools </w:t>
            </w:r>
          </w:p>
        </w:tc>
        <w:tc>
          <w:tcPr>
            <w:tcW w:w="1134" w:type="dxa"/>
            <w:vAlign w:val="center"/>
          </w:tcPr>
          <w:p w:rsidR="00122CEF" w:rsidRDefault="00122CEF" w:rsidP="008C18EE">
            <w:pPr>
              <w:pStyle w:val="Response"/>
              <w:keepNext/>
              <w:keepLines/>
              <w:jc w:val="right"/>
            </w:pPr>
            <w:r>
              <w:t>40%</w:t>
            </w:r>
          </w:p>
        </w:tc>
      </w:tr>
      <w:tr w:rsidR="00122CEF" w:rsidRPr="00ED3C77" w:rsidTr="008C18EE">
        <w:trPr>
          <w:jc w:val="center"/>
        </w:trPr>
        <w:tc>
          <w:tcPr>
            <w:tcW w:w="9214" w:type="dxa"/>
          </w:tcPr>
          <w:p w:rsidR="00122CEF" w:rsidRDefault="002109F1" w:rsidP="00122CEF">
            <w:pPr>
              <w:pStyle w:val="Response"/>
              <w:keepNext/>
              <w:keepLines/>
            </w:pPr>
            <w:r>
              <w:t>H</w:t>
            </w:r>
            <w:r w:rsidR="00122CEF">
              <w:t>omologation</w:t>
            </w:r>
            <w:r>
              <w:t xml:space="preserve"> of</w:t>
            </w:r>
            <w:r w:rsidR="00122CEF">
              <w:t xml:space="preserve"> the university quality control laboratory</w:t>
            </w:r>
            <w:r>
              <w:t xml:space="preserve"> by an international standards body</w:t>
            </w:r>
          </w:p>
        </w:tc>
        <w:tc>
          <w:tcPr>
            <w:tcW w:w="1134" w:type="dxa"/>
            <w:vAlign w:val="center"/>
          </w:tcPr>
          <w:p w:rsidR="00122CEF" w:rsidRDefault="00122CEF" w:rsidP="008C18EE">
            <w:pPr>
              <w:pStyle w:val="Response"/>
              <w:keepNext/>
              <w:keepLines/>
              <w:jc w:val="right"/>
            </w:pPr>
            <w:r>
              <w:t>20%</w:t>
            </w:r>
          </w:p>
        </w:tc>
      </w:tr>
      <w:tr w:rsidR="00122CEF" w:rsidRPr="00ED3C77" w:rsidTr="008C18EE">
        <w:trPr>
          <w:jc w:val="center"/>
        </w:trPr>
        <w:tc>
          <w:tcPr>
            <w:tcW w:w="9214" w:type="dxa"/>
          </w:tcPr>
          <w:p w:rsidR="00122CEF" w:rsidRDefault="00122CEF" w:rsidP="00122CEF">
            <w:pPr>
              <w:pStyle w:val="Response"/>
              <w:keepNext/>
              <w:keepLines/>
            </w:pPr>
            <w:r>
              <w:t xml:space="preserve">30% increase in the End-User’s production of coated cutting tools </w:t>
            </w:r>
          </w:p>
        </w:tc>
        <w:tc>
          <w:tcPr>
            <w:tcW w:w="1134" w:type="dxa"/>
            <w:vAlign w:val="center"/>
          </w:tcPr>
          <w:p w:rsidR="00122CEF" w:rsidRDefault="00122CEF" w:rsidP="008C18EE">
            <w:pPr>
              <w:pStyle w:val="Response"/>
              <w:keepNext/>
              <w:keepLines/>
              <w:jc w:val="right"/>
            </w:pPr>
            <w:r>
              <w:t>15%</w:t>
            </w:r>
          </w:p>
        </w:tc>
      </w:tr>
      <w:tr w:rsidR="00122CEF" w:rsidRPr="00ED3C77" w:rsidTr="008C18EE">
        <w:trPr>
          <w:jc w:val="center"/>
        </w:trPr>
        <w:tc>
          <w:tcPr>
            <w:tcW w:w="9214" w:type="dxa"/>
          </w:tcPr>
          <w:p w:rsidR="00B573EF" w:rsidRDefault="00122CEF">
            <w:pPr>
              <w:pStyle w:val="Response"/>
              <w:keepNext/>
              <w:keepLines/>
            </w:pPr>
            <w:r>
              <w:t>75% increase in the End-User’s production of coated cutting tools</w:t>
            </w:r>
            <w:r w:rsidR="002109F1">
              <w:t xml:space="preserve"> one year after project completion.</w:t>
            </w:r>
          </w:p>
        </w:tc>
        <w:tc>
          <w:tcPr>
            <w:tcW w:w="1134" w:type="dxa"/>
            <w:vAlign w:val="center"/>
          </w:tcPr>
          <w:p w:rsidR="00122CEF" w:rsidRDefault="00122CEF" w:rsidP="008C18EE">
            <w:pPr>
              <w:pStyle w:val="Response"/>
              <w:keepNext/>
              <w:keepLines/>
              <w:jc w:val="right"/>
            </w:pPr>
            <w:r>
              <w:t>15%</w:t>
            </w:r>
          </w:p>
        </w:tc>
      </w:tr>
      <w:tr w:rsidR="00122CEF" w:rsidRPr="00ED3C77" w:rsidTr="00122CEF">
        <w:trPr>
          <w:jc w:val="center"/>
        </w:trPr>
        <w:tc>
          <w:tcPr>
            <w:tcW w:w="9214" w:type="dxa"/>
            <w:tcBorders>
              <w:top w:val="double" w:sz="4" w:space="0" w:color="999999"/>
              <w:bottom w:val="single" w:sz="4" w:space="0" w:color="999999"/>
            </w:tcBorders>
          </w:tcPr>
          <w:p w:rsidR="00122CEF" w:rsidRPr="00ED3C77" w:rsidRDefault="00122CEF" w:rsidP="00122CEF">
            <w:pPr>
              <w:pStyle w:val="TableHead"/>
              <w:keepNext/>
              <w:keepLines/>
              <w:jc w:val="right"/>
            </w:pPr>
            <w:r w:rsidRPr="00ED3C77">
              <w:t>Total</w:t>
            </w:r>
          </w:p>
        </w:tc>
        <w:tc>
          <w:tcPr>
            <w:tcW w:w="1134" w:type="dxa"/>
            <w:tcBorders>
              <w:top w:val="double" w:sz="4" w:space="0" w:color="999999"/>
              <w:bottom w:val="single" w:sz="4" w:space="0" w:color="999999"/>
            </w:tcBorders>
          </w:tcPr>
          <w:p w:rsidR="00122CEF" w:rsidRPr="00ED3C77" w:rsidRDefault="00122CEF" w:rsidP="00122CEF">
            <w:pPr>
              <w:pStyle w:val="Response"/>
              <w:keepNext/>
              <w:keepLines/>
              <w:jc w:val="right"/>
            </w:pPr>
            <w:r>
              <w:t>100%</w:t>
            </w:r>
          </w:p>
        </w:tc>
      </w:tr>
    </w:tbl>
    <w:p w:rsidR="00F06DF1" w:rsidRDefault="00F06DF1" w:rsidP="00F06DF1">
      <w:pPr>
        <w:jc w:val="center"/>
        <w:rPr>
          <w:rFonts w:ascii="Arial" w:hAnsi="Arial" w:cs="Arial"/>
          <w:b/>
          <w:sz w:val="28"/>
          <w:szCs w:val="28"/>
        </w:rPr>
      </w:pPr>
    </w:p>
    <w:p w:rsidR="00F06DF1" w:rsidRPr="00F06DF1" w:rsidRDefault="00F06DF1" w:rsidP="00F06DF1">
      <w:pPr>
        <w:jc w:val="center"/>
        <w:rPr>
          <w:rFonts w:ascii="Arial" w:hAnsi="Arial" w:cs="Arial"/>
          <w:b/>
          <w:sz w:val="28"/>
          <w:szCs w:val="28"/>
        </w:rPr>
      </w:pPr>
      <w:r w:rsidRPr="00F06DF1">
        <w:rPr>
          <w:rFonts w:ascii="Arial" w:hAnsi="Arial" w:cs="Arial"/>
          <w:b/>
          <w:sz w:val="28"/>
          <w:szCs w:val="28"/>
        </w:rPr>
        <w:t xml:space="preserve">Example </w:t>
      </w:r>
      <w:r>
        <w:rPr>
          <w:rFonts w:ascii="Arial" w:hAnsi="Arial" w:cs="Arial"/>
          <w:b/>
          <w:sz w:val="28"/>
          <w:szCs w:val="28"/>
        </w:rPr>
        <w:t>2</w:t>
      </w:r>
    </w:p>
    <w:tbl>
      <w:tblPr>
        <w:tblStyle w:val="TableGrid"/>
        <w:tblW w:w="10348" w:type="dxa"/>
        <w:jc w:val="center"/>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Look w:val="01E0"/>
      </w:tblPr>
      <w:tblGrid>
        <w:gridCol w:w="9214"/>
        <w:gridCol w:w="1134"/>
      </w:tblGrid>
      <w:tr w:rsidR="00122CEF" w:rsidRPr="00ED3C77" w:rsidTr="00122CEF">
        <w:trPr>
          <w:jc w:val="center"/>
        </w:trPr>
        <w:tc>
          <w:tcPr>
            <w:tcW w:w="9214" w:type="dxa"/>
            <w:tcBorders>
              <w:top w:val="single" w:sz="4" w:space="0" w:color="999999"/>
              <w:bottom w:val="double" w:sz="4" w:space="0" w:color="999999"/>
            </w:tcBorders>
            <w:vAlign w:val="center"/>
          </w:tcPr>
          <w:p w:rsidR="00122CEF" w:rsidRPr="00ED3C77" w:rsidRDefault="00122CEF" w:rsidP="00122CEF">
            <w:pPr>
              <w:pStyle w:val="TableHead"/>
              <w:keepNext/>
              <w:keepLines/>
              <w:jc w:val="center"/>
            </w:pPr>
            <w:r>
              <w:t>C</w:t>
            </w:r>
            <w:r w:rsidRPr="00ED3C77">
              <w:t>riterion</w:t>
            </w:r>
          </w:p>
        </w:tc>
        <w:tc>
          <w:tcPr>
            <w:tcW w:w="1134" w:type="dxa"/>
            <w:tcBorders>
              <w:top w:val="single" w:sz="4" w:space="0" w:color="999999"/>
              <w:bottom w:val="double" w:sz="4" w:space="0" w:color="999999"/>
            </w:tcBorders>
            <w:vAlign w:val="center"/>
          </w:tcPr>
          <w:p w:rsidR="00122CEF" w:rsidRPr="00ED3C77" w:rsidRDefault="00122CEF" w:rsidP="00122CEF">
            <w:pPr>
              <w:pStyle w:val="TableHead"/>
              <w:keepNext/>
              <w:keepLines/>
              <w:jc w:val="center"/>
            </w:pPr>
            <w:r>
              <w:t>R</w:t>
            </w:r>
            <w:r w:rsidRPr="00ED3C77">
              <w:t xml:space="preserve">elative </w:t>
            </w:r>
            <w:r>
              <w:t>W</w:t>
            </w:r>
            <w:r w:rsidRPr="00ED3C77">
              <w:t>eight</w:t>
            </w:r>
          </w:p>
        </w:tc>
      </w:tr>
      <w:tr w:rsidR="00122CEF" w:rsidRPr="00ED3C77" w:rsidTr="008C18EE">
        <w:trPr>
          <w:jc w:val="center"/>
        </w:trPr>
        <w:tc>
          <w:tcPr>
            <w:tcW w:w="9214" w:type="dxa"/>
          </w:tcPr>
          <w:p w:rsidR="00B573EF" w:rsidRDefault="00122CEF">
            <w:pPr>
              <w:pStyle w:val="Response"/>
              <w:keepNext/>
              <w:keepLines/>
            </w:pPr>
            <w:r>
              <w:t>Creation of an operational data base system facilitating coordinated</w:t>
            </w:r>
            <w:r w:rsidR="002109F1">
              <w:t xml:space="preserve"> (at least 3 cooperating users with subjectively good collaboration experience)</w:t>
            </w:r>
            <w:r>
              <w:t>, uniform, high</w:t>
            </w:r>
            <w:r w:rsidR="002109F1">
              <w:t xml:space="preserve"> quality</w:t>
            </w:r>
            <w:r>
              <w:t xml:space="preserve"> scientific analyses of the present and historical contaminant inputs</w:t>
            </w:r>
          </w:p>
        </w:tc>
        <w:tc>
          <w:tcPr>
            <w:tcW w:w="1134" w:type="dxa"/>
            <w:vAlign w:val="center"/>
          </w:tcPr>
          <w:p w:rsidR="00122CEF" w:rsidRDefault="00122CEF" w:rsidP="008C18EE">
            <w:pPr>
              <w:pStyle w:val="Response"/>
              <w:keepNext/>
              <w:keepLines/>
              <w:jc w:val="right"/>
            </w:pPr>
            <w:r>
              <w:t>10%</w:t>
            </w:r>
          </w:p>
        </w:tc>
      </w:tr>
      <w:tr w:rsidR="00122CEF" w:rsidRPr="00ED3C77" w:rsidTr="008C18EE">
        <w:trPr>
          <w:jc w:val="center"/>
        </w:trPr>
        <w:tc>
          <w:tcPr>
            <w:tcW w:w="9214" w:type="dxa"/>
          </w:tcPr>
          <w:p w:rsidR="00122CEF" w:rsidRDefault="002109F1" w:rsidP="008C18EE">
            <w:pPr>
              <w:pStyle w:val="Response"/>
              <w:keepNext/>
              <w:keepLines/>
            </w:pPr>
            <w:r>
              <w:t xml:space="preserve">Standardization </w:t>
            </w:r>
            <w:r w:rsidR="00122CEF">
              <w:t xml:space="preserve">of analytic </w:t>
            </w:r>
            <w:r>
              <w:t xml:space="preserve">and reporting </w:t>
            </w:r>
            <w:r w:rsidR="00122CEF">
              <w:t>method</w:t>
            </w:r>
            <w:r w:rsidR="008C18EE">
              <w:t>s</w:t>
            </w:r>
            <w:r>
              <w:t xml:space="preserve"> among partners</w:t>
            </w:r>
          </w:p>
        </w:tc>
        <w:tc>
          <w:tcPr>
            <w:tcW w:w="1134" w:type="dxa"/>
            <w:vAlign w:val="center"/>
          </w:tcPr>
          <w:p w:rsidR="00122CEF" w:rsidRDefault="00122CEF" w:rsidP="008C18EE">
            <w:pPr>
              <w:pStyle w:val="Response"/>
              <w:keepNext/>
              <w:keepLines/>
              <w:jc w:val="right"/>
            </w:pPr>
            <w:r>
              <w:t>10%</w:t>
            </w:r>
          </w:p>
        </w:tc>
      </w:tr>
      <w:tr w:rsidR="00122CEF" w:rsidRPr="00ED3C77" w:rsidTr="008C18EE">
        <w:trPr>
          <w:jc w:val="center"/>
        </w:trPr>
        <w:tc>
          <w:tcPr>
            <w:tcW w:w="9214" w:type="dxa"/>
          </w:tcPr>
          <w:p w:rsidR="00122CEF" w:rsidRDefault="00122CEF" w:rsidP="00122CEF">
            <w:pPr>
              <w:pStyle w:val="Response"/>
              <w:keepNext/>
              <w:keepLines/>
            </w:pPr>
            <w:r>
              <w:t>Creation of a sustainable international infrastructure for high quality</w:t>
            </w:r>
            <w:r w:rsidR="002109F1">
              <w:t xml:space="preserve"> (accuracy &gt; 90%)</w:t>
            </w:r>
            <w:r>
              <w:t xml:space="preserve"> monitoring</w:t>
            </w:r>
          </w:p>
        </w:tc>
        <w:tc>
          <w:tcPr>
            <w:tcW w:w="1134" w:type="dxa"/>
            <w:vAlign w:val="center"/>
          </w:tcPr>
          <w:p w:rsidR="00122CEF" w:rsidRDefault="00122CEF" w:rsidP="008C18EE">
            <w:pPr>
              <w:pStyle w:val="Response"/>
              <w:keepNext/>
              <w:keepLines/>
              <w:jc w:val="right"/>
            </w:pPr>
            <w:r>
              <w:t>20%</w:t>
            </w:r>
          </w:p>
        </w:tc>
      </w:tr>
      <w:tr w:rsidR="00122CEF" w:rsidRPr="00ED3C77" w:rsidTr="008C18EE">
        <w:trPr>
          <w:jc w:val="center"/>
        </w:trPr>
        <w:tc>
          <w:tcPr>
            <w:tcW w:w="9214" w:type="dxa"/>
          </w:tcPr>
          <w:p w:rsidR="00B573EF" w:rsidRDefault="00122CEF">
            <w:pPr>
              <w:pStyle w:val="Response"/>
              <w:keepNext/>
              <w:keepLines/>
            </w:pPr>
            <w:r>
              <w:t>Selection or development of a</w:t>
            </w:r>
            <w:r w:rsidR="002109F1">
              <w:t xml:space="preserve"> </w:t>
            </w:r>
            <w:r>
              <w:t xml:space="preserve">model for </w:t>
            </w:r>
            <w:r w:rsidR="002109F1">
              <w:t>resource</w:t>
            </w:r>
            <w:r>
              <w:t xml:space="preserve"> management</w:t>
            </w:r>
            <w:r w:rsidR="002109F1">
              <w:t xml:space="preserve"> applicable to all partners which allows each to learn from the results of the others.</w:t>
            </w:r>
          </w:p>
        </w:tc>
        <w:tc>
          <w:tcPr>
            <w:tcW w:w="1134" w:type="dxa"/>
            <w:vAlign w:val="center"/>
          </w:tcPr>
          <w:p w:rsidR="00122CEF" w:rsidRDefault="002109F1" w:rsidP="008C18EE">
            <w:pPr>
              <w:pStyle w:val="Response"/>
              <w:keepNext/>
              <w:keepLines/>
              <w:jc w:val="right"/>
            </w:pPr>
            <w:r>
              <w:t>20</w:t>
            </w:r>
            <w:r w:rsidR="00122CEF">
              <w:t>%</w:t>
            </w:r>
          </w:p>
        </w:tc>
      </w:tr>
      <w:tr w:rsidR="00122CEF" w:rsidRPr="00ED3C77" w:rsidTr="008C18EE">
        <w:trPr>
          <w:jc w:val="center"/>
        </w:trPr>
        <w:tc>
          <w:tcPr>
            <w:tcW w:w="9214" w:type="dxa"/>
          </w:tcPr>
          <w:p w:rsidR="00B573EF" w:rsidRDefault="008C18EE">
            <w:pPr>
              <w:pStyle w:val="Response"/>
              <w:keepNext/>
              <w:keepLines/>
            </w:pPr>
            <w:r>
              <w:t xml:space="preserve">Implementation of </w:t>
            </w:r>
            <w:r w:rsidR="002109F1">
              <w:t xml:space="preserve">at least 60% of project </w:t>
            </w:r>
            <w:r>
              <w:t xml:space="preserve">recommendations </w:t>
            </w:r>
            <w:r w:rsidR="00122CEF">
              <w:t>by policy makers on a national and international level one year after project completion</w:t>
            </w:r>
            <w:r w:rsidR="002109F1">
              <w:t>.</w:t>
            </w:r>
          </w:p>
        </w:tc>
        <w:tc>
          <w:tcPr>
            <w:tcW w:w="1134" w:type="dxa"/>
            <w:vAlign w:val="center"/>
          </w:tcPr>
          <w:p w:rsidR="00122CEF" w:rsidRDefault="00122CEF" w:rsidP="008C18EE">
            <w:pPr>
              <w:pStyle w:val="Response"/>
              <w:keepNext/>
              <w:keepLines/>
              <w:jc w:val="right"/>
            </w:pPr>
            <w:r>
              <w:t>40%</w:t>
            </w:r>
          </w:p>
        </w:tc>
      </w:tr>
      <w:tr w:rsidR="00122CEF" w:rsidRPr="00ED3C77" w:rsidTr="00122CEF">
        <w:trPr>
          <w:jc w:val="center"/>
        </w:trPr>
        <w:tc>
          <w:tcPr>
            <w:tcW w:w="9214" w:type="dxa"/>
            <w:tcBorders>
              <w:top w:val="double" w:sz="4" w:space="0" w:color="999999"/>
              <w:bottom w:val="single" w:sz="4" w:space="0" w:color="999999"/>
            </w:tcBorders>
          </w:tcPr>
          <w:p w:rsidR="00122CEF" w:rsidRPr="00ED3C77" w:rsidRDefault="00122CEF" w:rsidP="00122CEF">
            <w:pPr>
              <w:pStyle w:val="TableHead"/>
              <w:keepNext/>
              <w:keepLines/>
              <w:jc w:val="right"/>
            </w:pPr>
            <w:r w:rsidRPr="00ED3C77">
              <w:t>Total</w:t>
            </w:r>
          </w:p>
        </w:tc>
        <w:tc>
          <w:tcPr>
            <w:tcW w:w="1134" w:type="dxa"/>
            <w:tcBorders>
              <w:top w:val="double" w:sz="4" w:space="0" w:color="999999"/>
              <w:bottom w:val="single" w:sz="4" w:space="0" w:color="999999"/>
            </w:tcBorders>
          </w:tcPr>
          <w:p w:rsidR="00122CEF" w:rsidRPr="00ED3C77" w:rsidRDefault="00122CEF" w:rsidP="00122CEF">
            <w:pPr>
              <w:pStyle w:val="Response"/>
              <w:keepNext/>
              <w:keepLines/>
              <w:jc w:val="right"/>
            </w:pPr>
            <w:r>
              <w:t>100%</w:t>
            </w:r>
          </w:p>
        </w:tc>
      </w:tr>
    </w:tbl>
    <w:p w:rsidR="0082012A" w:rsidRDefault="0082012A" w:rsidP="008D394C">
      <w:pPr>
        <w:pStyle w:val="Body"/>
        <w:spacing w:before="120" w:after="0"/>
        <w:sectPr w:rsidR="0082012A" w:rsidSect="001E0017">
          <w:footnotePr>
            <w:numFmt w:val="chicago"/>
            <w:numRestart w:val="eachPage"/>
          </w:footnotePr>
          <w:pgSz w:w="12240" w:h="15840" w:code="1"/>
          <w:pgMar w:top="340" w:right="907" w:bottom="340" w:left="907" w:header="720" w:footer="720" w:gutter="0"/>
          <w:pgNumType w:start="1"/>
          <w:cols w:space="720"/>
          <w:titlePg/>
          <w:docGrid w:linePitch="245"/>
        </w:sectPr>
      </w:pPr>
    </w:p>
    <w:tbl>
      <w:tblPr>
        <w:tblW w:w="0" w:type="auto"/>
        <w:jc w:val="center"/>
        <w:tblInd w:w="108" w:type="dxa"/>
        <w:tblBorders>
          <w:bottom w:val="single" w:sz="4" w:space="0" w:color="auto"/>
        </w:tblBorders>
        <w:tblLayout w:type="fixed"/>
        <w:tblCellMar>
          <w:bottom w:w="142" w:type="dxa"/>
        </w:tblCellMar>
        <w:tblLook w:val="0000"/>
      </w:tblPr>
      <w:tblGrid>
        <w:gridCol w:w="993"/>
        <w:gridCol w:w="9355"/>
      </w:tblGrid>
      <w:tr w:rsidR="0082012A" w:rsidRPr="00ED3C77" w:rsidTr="0082012A">
        <w:trPr>
          <w:trHeight w:val="1881"/>
          <w:jc w:val="center"/>
        </w:trPr>
        <w:tc>
          <w:tcPr>
            <w:tcW w:w="993" w:type="dxa"/>
            <w:vAlign w:val="center"/>
          </w:tcPr>
          <w:p w:rsidR="0082012A" w:rsidRPr="00ED3C77" w:rsidRDefault="0082012A" w:rsidP="0082012A">
            <w:pPr>
              <w:jc w:val="center"/>
              <w:rPr>
                <w:b/>
                <w:bCs/>
              </w:rPr>
            </w:pPr>
            <w:bookmarkStart w:id="46" w:name="Annex8IPR"/>
            <w:bookmarkEnd w:id="46"/>
            <w:r>
              <w:rPr>
                <w:b/>
                <w:bCs/>
                <w:noProof/>
                <w:lang w:val="en-US"/>
              </w:rPr>
              <w:drawing>
                <wp:inline distT="0" distB="0" distL="0" distR="0">
                  <wp:extent cx="581025" cy="1162050"/>
                  <wp:effectExtent l="19050" t="0" r="9525"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81025" cy="1162050"/>
                          </a:xfrm>
                          <a:prstGeom prst="rect">
                            <a:avLst/>
                          </a:prstGeom>
                          <a:noFill/>
                          <a:ln w="9525">
                            <a:noFill/>
                            <a:miter lim="800000"/>
                            <a:headEnd/>
                            <a:tailEnd/>
                          </a:ln>
                        </pic:spPr>
                      </pic:pic>
                    </a:graphicData>
                  </a:graphic>
                </wp:inline>
              </w:drawing>
            </w:r>
          </w:p>
        </w:tc>
        <w:tc>
          <w:tcPr>
            <w:tcW w:w="9355" w:type="dxa"/>
            <w:vAlign w:val="center"/>
          </w:tcPr>
          <w:p w:rsidR="0082012A" w:rsidRPr="00ED3C77" w:rsidRDefault="0082012A" w:rsidP="0082012A">
            <w:pPr>
              <w:spacing w:after="120"/>
              <w:jc w:val="center"/>
              <w:rPr>
                <w:b/>
                <w:bCs/>
                <w:color w:val="3487C8"/>
                <w:sz w:val="22"/>
                <w:szCs w:val="22"/>
              </w:rPr>
            </w:pPr>
            <w:r w:rsidRPr="00ED3C77">
              <w:rPr>
                <w:b/>
                <w:bCs/>
                <w:color w:val="3487C8"/>
                <w:sz w:val="22"/>
                <w:szCs w:val="22"/>
              </w:rPr>
              <w:t>Emerging Security Challenges Division</w:t>
            </w:r>
          </w:p>
          <w:p w:rsidR="0082012A" w:rsidRPr="00ED3C77" w:rsidRDefault="0082012A" w:rsidP="0082012A">
            <w:pPr>
              <w:spacing w:after="200"/>
              <w:jc w:val="center"/>
              <w:rPr>
                <w:b/>
                <w:bCs/>
                <w:color w:val="3487C8"/>
                <w:sz w:val="28"/>
                <w:szCs w:val="28"/>
              </w:rPr>
            </w:pPr>
            <w:r w:rsidRPr="00ED3C77">
              <w:rPr>
                <w:b/>
                <w:bCs/>
                <w:color w:val="3487C8"/>
                <w:sz w:val="28"/>
                <w:szCs w:val="28"/>
              </w:rPr>
              <w:t>Science for Peace and Security Programme</w:t>
            </w:r>
          </w:p>
          <w:p w:rsidR="0082012A" w:rsidRPr="00A81605" w:rsidRDefault="0082012A" w:rsidP="0082012A">
            <w:pPr>
              <w:jc w:val="center"/>
              <w:rPr>
                <w:rFonts w:ascii="Arial" w:hAnsi="Arial" w:cs="Arial"/>
                <w:b/>
                <w:sz w:val="28"/>
                <w:szCs w:val="28"/>
              </w:rPr>
            </w:pPr>
            <w:r w:rsidRPr="00F07247">
              <w:rPr>
                <w:rFonts w:ascii="Arial" w:hAnsi="Arial" w:cs="Arial"/>
                <w:b/>
                <w:bCs/>
                <w:color w:val="00408B"/>
                <w:sz w:val="28"/>
                <w:szCs w:val="28"/>
              </w:rPr>
              <w:t>Guidelines for Applicants</w:t>
            </w:r>
            <w:r>
              <w:rPr>
                <w:rFonts w:ascii="Arial" w:hAnsi="Arial" w:cs="Arial"/>
                <w:b/>
                <w:bCs/>
                <w:color w:val="00408B"/>
                <w:sz w:val="28"/>
                <w:szCs w:val="28"/>
              </w:rPr>
              <w:t xml:space="preserve"> – Project Plan</w:t>
            </w:r>
          </w:p>
          <w:p w:rsidR="0082012A" w:rsidRPr="00A81605" w:rsidRDefault="0082012A" w:rsidP="0082012A">
            <w:pPr>
              <w:pStyle w:val="Heading1"/>
              <w:spacing w:before="0"/>
              <w:jc w:val="center"/>
              <w:rPr>
                <w:sz w:val="28"/>
                <w:szCs w:val="28"/>
              </w:rPr>
            </w:pPr>
            <w:bookmarkStart w:id="47" w:name="_Toc341274835"/>
            <w:r w:rsidRPr="00A81605">
              <w:rPr>
                <w:sz w:val="28"/>
                <w:szCs w:val="28"/>
              </w:rPr>
              <w:t xml:space="preserve">ANNEX </w:t>
            </w:r>
            <w:r w:rsidR="004D7616">
              <w:rPr>
                <w:sz w:val="28"/>
                <w:szCs w:val="28"/>
              </w:rPr>
              <w:t>7</w:t>
            </w:r>
            <w:r w:rsidRPr="00A81605">
              <w:rPr>
                <w:sz w:val="28"/>
                <w:szCs w:val="28"/>
              </w:rPr>
              <w:t xml:space="preserve">: </w:t>
            </w:r>
            <w:r w:rsidR="002109F1">
              <w:rPr>
                <w:sz w:val="28"/>
                <w:szCs w:val="28"/>
              </w:rPr>
              <w:t xml:space="preserve">Model </w:t>
            </w:r>
            <w:r>
              <w:rPr>
                <w:sz w:val="28"/>
                <w:szCs w:val="28"/>
              </w:rPr>
              <w:t>Intellectual Property Rights</w:t>
            </w:r>
            <w:bookmarkEnd w:id="47"/>
            <w:r w:rsidR="002109F1">
              <w:rPr>
                <w:sz w:val="28"/>
                <w:szCs w:val="28"/>
              </w:rPr>
              <w:t xml:space="preserve"> Agreement</w:t>
            </w:r>
          </w:p>
          <w:p w:rsidR="0082012A" w:rsidRPr="00ED3C77" w:rsidRDefault="0082012A" w:rsidP="0082012A">
            <w:pPr>
              <w:jc w:val="center"/>
              <w:rPr>
                <w:b/>
                <w:bCs/>
              </w:rPr>
            </w:pPr>
            <w:r w:rsidRPr="00ED3C77">
              <w:rPr>
                <w:szCs w:val="18"/>
              </w:rPr>
              <w:t xml:space="preserve">NATO Emerging Security Challenges Division, SPS Programme, Bd. Léopold </w:t>
            </w:r>
            <w:smartTag w:uri="urn:schemas-microsoft-com:office:smarttags" w:element="stockticker">
              <w:r w:rsidRPr="00ED3C77">
                <w:rPr>
                  <w:szCs w:val="18"/>
                </w:rPr>
                <w:t>III</w:t>
              </w:r>
            </w:smartTag>
            <w:r w:rsidRPr="00ED3C77">
              <w:rPr>
                <w:szCs w:val="18"/>
              </w:rPr>
              <w:t xml:space="preserve">, </w:t>
            </w:r>
            <w:r w:rsidRPr="00ED3C77" w:rsidDel="00C17795">
              <w:rPr>
                <w:szCs w:val="18"/>
              </w:rPr>
              <w:t>B-</w:t>
            </w:r>
            <w:r w:rsidRPr="00ED3C77">
              <w:rPr>
                <w:szCs w:val="18"/>
              </w:rPr>
              <w:t>1110 Brussels, Belgium</w:t>
            </w:r>
          </w:p>
        </w:tc>
      </w:tr>
    </w:tbl>
    <w:p w:rsidR="0082012A" w:rsidRDefault="0082012A" w:rsidP="0082012A">
      <w:pPr>
        <w:pStyle w:val="Heading2"/>
        <w:spacing w:before="120"/>
      </w:pPr>
      <w:bookmarkStart w:id="48" w:name="_Toc341274836"/>
      <w:r>
        <w:t>PRINCIPLES</w:t>
      </w:r>
      <w:bookmarkEnd w:id="48"/>
    </w:p>
    <w:p w:rsidR="0082012A" w:rsidRDefault="0082012A" w:rsidP="0082012A">
      <w:pPr>
        <w:pStyle w:val="Body"/>
      </w:pPr>
      <w:r>
        <w:t>If a project is likely to generate intellectual property (IP), an IP Rights Agreement must be completed and signed by all Co-Directors and their institutional representatives. Likewise, for projects an IP Rights Agreement is not necessary, a statement, signed by all Co-Directors to that effect</w:t>
      </w:r>
      <w:r w:rsidR="00F51C80">
        <w:t xml:space="preserve"> should be submitted to the SPS Projects Office</w:t>
      </w:r>
      <w:r>
        <w:t>.</w:t>
      </w:r>
    </w:p>
    <w:p w:rsidR="0082012A" w:rsidRDefault="0082012A" w:rsidP="0082012A">
      <w:pPr>
        <w:pStyle w:val="Body"/>
      </w:pPr>
      <w:r>
        <w:t>The IP</w:t>
      </w:r>
      <w:r w:rsidR="00F51C80">
        <w:t xml:space="preserve"> </w:t>
      </w:r>
      <w:r>
        <w:t>R</w:t>
      </w:r>
      <w:r w:rsidR="00F51C80">
        <w:t>ights</w:t>
      </w:r>
      <w:r>
        <w:t xml:space="preserve"> agreement may be re-evaluated during the project due to unforeseen circumstances, on the request of any of the Parties, to ensure that the benefit-sharing terms remain reasonable to all Parties. If necessary, this process may be mediated by NATO.</w:t>
      </w:r>
    </w:p>
    <w:p w:rsidR="00F51C80" w:rsidRDefault="00F51C80" w:rsidP="00F51C80">
      <w:pPr>
        <w:pStyle w:val="Heading2"/>
      </w:pPr>
    </w:p>
    <w:p w:rsidR="00F51C80" w:rsidRPr="00F51C80" w:rsidRDefault="00F51C80" w:rsidP="00F51C80">
      <w:pPr>
        <w:pStyle w:val="Heading2"/>
      </w:pPr>
      <w:bookmarkStart w:id="49" w:name="_Toc341274837"/>
      <w:r>
        <w:t>Sample IP Rights Agreement</w:t>
      </w:r>
      <w:bookmarkEnd w:id="49"/>
    </w:p>
    <w:p w:rsidR="00F51C80" w:rsidRDefault="00F51C80" w:rsidP="00F51C80">
      <w:pPr>
        <w:pStyle w:val="Body"/>
      </w:pPr>
      <w:r w:rsidRPr="00F51C80">
        <w:rPr>
          <w:b/>
        </w:rPr>
        <w:t>PROJECT</w:t>
      </w:r>
      <w:r>
        <w:t>:</w:t>
      </w:r>
      <w:r>
        <w:tab/>
        <w:t>(Project Title)</w:t>
      </w:r>
    </w:p>
    <w:p w:rsidR="00F51C80" w:rsidRDefault="00F51C80" w:rsidP="00F51C80">
      <w:pPr>
        <w:pStyle w:val="Body"/>
      </w:pPr>
      <w:r w:rsidRPr="00F51C80">
        <w:rPr>
          <w:b/>
        </w:rPr>
        <w:t>SPS PROJECT NUMBER</w:t>
      </w:r>
      <w:r>
        <w:t>:</w:t>
      </w:r>
      <w:r>
        <w:tab/>
        <w:t>(Project number)</w:t>
      </w:r>
    </w:p>
    <w:p w:rsidR="00F51C80" w:rsidRDefault="00F51C80" w:rsidP="00F51C80">
      <w:pPr>
        <w:pStyle w:val="Body"/>
      </w:pPr>
      <w:r>
        <w:t>THIS AGREEMENT is made the</w:t>
      </w:r>
      <w:r>
        <w:tab/>
      </w:r>
      <w:r>
        <w:tab/>
        <w:t>day of</w:t>
      </w:r>
      <w:r>
        <w:tab/>
      </w:r>
      <w:r>
        <w:tab/>
      </w:r>
      <w:r>
        <w:tab/>
      </w:r>
    </w:p>
    <w:p w:rsidR="00F51C80" w:rsidRDefault="00F51C80" w:rsidP="00F51C80">
      <w:pPr>
        <w:pStyle w:val="Body"/>
      </w:pPr>
      <w:r>
        <w:t>BETWEEN</w:t>
      </w:r>
    </w:p>
    <w:p w:rsidR="00F51C80" w:rsidRDefault="00F51C80" w:rsidP="00F51C80">
      <w:pPr>
        <w:pStyle w:val="Body"/>
      </w:pPr>
      <w:r>
        <w:t xml:space="preserve">A </w:t>
      </w:r>
      <w:r>
        <w:tab/>
        <w:t>“(Name, Address and Nationality of the Institutions or Companies)”</w:t>
      </w:r>
    </w:p>
    <w:p w:rsidR="00F51C80" w:rsidRDefault="00F51C80" w:rsidP="00F51C80">
      <w:pPr>
        <w:pStyle w:val="Body"/>
      </w:pPr>
      <w:r>
        <w:t>B</w:t>
      </w:r>
      <w:r>
        <w:tab/>
        <w:t>“…”</w:t>
      </w:r>
    </w:p>
    <w:p w:rsidR="00F51C80" w:rsidRDefault="00F51C80" w:rsidP="00F51C80">
      <w:pPr>
        <w:pStyle w:val="Body"/>
      </w:pPr>
      <w:r>
        <w:t>…</w:t>
      </w:r>
    </w:p>
    <w:p w:rsidR="00F51C80" w:rsidRDefault="00F51C80" w:rsidP="00F51C80">
      <w:pPr>
        <w:pStyle w:val="Body"/>
      </w:pPr>
      <w:r>
        <w:t>And</w:t>
      </w:r>
    </w:p>
    <w:p w:rsidR="00F51C80" w:rsidRDefault="00F51C80" w:rsidP="00F51C80">
      <w:pPr>
        <w:pStyle w:val="Body"/>
      </w:pPr>
      <w:r>
        <w:t>M</w:t>
      </w:r>
      <w:r>
        <w:tab/>
        <w:t>“…”</w:t>
      </w:r>
    </w:p>
    <w:p w:rsidR="00F51C80" w:rsidRDefault="00F51C80" w:rsidP="00F51C80">
      <w:pPr>
        <w:pStyle w:val="Body"/>
      </w:pPr>
      <w:r>
        <w:t>N</w:t>
      </w:r>
      <w:r>
        <w:tab/>
        <w:t>“…”</w:t>
      </w:r>
    </w:p>
    <w:p w:rsidR="00F51C80" w:rsidRDefault="00F51C80" w:rsidP="00F51C80">
      <w:pPr>
        <w:pStyle w:val="Body"/>
        <w:rPr>
          <w:rFonts w:ascii="Symbol" w:hAnsi="Symbol"/>
        </w:rPr>
      </w:pPr>
      <w:r>
        <w:rPr>
          <w:rFonts w:ascii="Symbol" w:hAnsi="Symbol"/>
        </w:rPr>
        <w:t></w:t>
      </w:r>
    </w:p>
    <w:p w:rsidR="00F51C80" w:rsidRDefault="00F51C80" w:rsidP="00F51C80">
      <w:pPr>
        <w:pStyle w:val="Body"/>
      </w:pPr>
      <w:r>
        <w:t xml:space="preserve"> “A” hereinafter to be called ___, “B” hereinafter to be called ___, [....etc.] and collectively to be called the “Parties” for the purpose of the Agreement only. Any statutory or other implication from the use of the term “Party” is hereby expressly excluded.</w:t>
      </w:r>
    </w:p>
    <w:p w:rsidR="00F51C80" w:rsidRDefault="00F51C80" w:rsidP="00F51C80">
      <w:pPr>
        <w:pStyle w:val="Body"/>
      </w:pPr>
      <w:r>
        <w:t>WHEREAS</w:t>
      </w:r>
    </w:p>
    <w:p w:rsidR="00F51C80" w:rsidRPr="00F51C80" w:rsidRDefault="00F51C80" w:rsidP="00F51C80">
      <w:pPr>
        <w:pStyle w:val="ListParagraph"/>
        <w:numPr>
          <w:ilvl w:val="4"/>
          <w:numId w:val="18"/>
        </w:numPr>
        <w:tabs>
          <w:tab w:val="left" w:pos="-1094"/>
          <w:tab w:val="left" w:pos="-720"/>
          <w:tab w:val="left" w:pos="0"/>
          <w:tab w:val="left" w:pos="540"/>
          <w:tab w:val="left" w:pos="1440"/>
        </w:tabs>
        <w:spacing w:after="120"/>
        <w:ind w:left="360"/>
        <w:jc w:val="both"/>
        <w:rPr>
          <w:rFonts w:ascii="Arial" w:hAnsi="Arial"/>
          <w:sz w:val="20"/>
        </w:rPr>
      </w:pPr>
      <w:r w:rsidRPr="00F51C80">
        <w:rPr>
          <w:rFonts w:ascii="Arial" w:hAnsi="Arial"/>
          <w:sz w:val="20"/>
        </w:rPr>
        <w:t>The Parties have expertise in the field _________ and wish to undertake joint research and exploitation of results in this field.</w:t>
      </w:r>
    </w:p>
    <w:p w:rsidR="00F51C80" w:rsidRPr="00F51C80" w:rsidRDefault="00F51C80" w:rsidP="00F51C80">
      <w:pPr>
        <w:pStyle w:val="ListParagraph"/>
        <w:numPr>
          <w:ilvl w:val="4"/>
          <w:numId w:val="18"/>
        </w:numPr>
        <w:tabs>
          <w:tab w:val="left" w:pos="-1094"/>
          <w:tab w:val="left" w:pos="-720"/>
          <w:tab w:val="left" w:pos="0"/>
          <w:tab w:val="left" w:pos="540"/>
          <w:tab w:val="left" w:pos="1440"/>
        </w:tabs>
        <w:spacing w:after="120"/>
        <w:ind w:left="360"/>
        <w:jc w:val="both"/>
        <w:rPr>
          <w:rFonts w:ascii="Arial" w:hAnsi="Arial"/>
          <w:sz w:val="20"/>
        </w:rPr>
      </w:pPr>
      <w:r w:rsidRPr="00F51C80">
        <w:rPr>
          <w:rFonts w:ascii="Arial" w:hAnsi="Arial"/>
          <w:sz w:val="20"/>
        </w:rPr>
        <w:t>This project will benefit from financial support through the NATO Science for Peace and Security (SPS) Programme.</w:t>
      </w:r>
    </w:p>
    <w:p w:rsidR="00F51C80" w:rsidRPr="00F51C80" w:rsidRDefault="00F51C80" w:rsidP="00F51C80">
      <w:pPr>
        <w:pStyle w:val="ListParagraph"/>
        <w:numPr>
          <w:ilvl w:val="4"/>
          <w:numId w:val="18"/>
        </w:numPr>
        <w:tabs>
          <w:tab w:val="left" w:pos="-1094"/>
          <w:tab w:val="left" w:pos="-720"/>
          <w:tab w:val="left" w:pos="0"/>
          <w:tab w:val="left" w:pos="540"/>
          <w:tab w:val="left" w:pos="1440"/>
        </w:tabs>
        <w:ind w:left="360"/>
        <w:jc w:val="both"/>
        <w:rPr>
          <w:rFonts w:ascii="Arial" w:hAnsi="Arial"/>
          <w:sz w:val="20"/>
        </w:rPr>
      </w:pPr>
      <w:r w:rsidRPr="00F51C80">
        <w:rPr>
          <w:rFonts w:ascii="Arial" w:hAnsi="Arial"/>
          <w:sz w:val="20"/>
        </w:rPr>
        <w:t>NATO wishes the results of the research undertaken to be applied to the benefit of the Parties, and waives any claim to ownership of Intellectual Property Rights deriving from such research as well as any income resulting from the exploitation of said Intellectual Property Rights.</w:t>
      </w:r>
    </w:p>
    <w:p w:rsidR="00F51C80" w:rsidRDefault="00F51C80" w:rsidP="00F51C80">
      <w:pPr>
        <w:pStyle w:val="BodyText"/>
        <w:tabs>
          <w:tab w:val="clear" w:pos="990"/>
          <w:tab w:val="clear" w:pos="2160"/>
          <w:tab w:val="left" w:pos="1440"/>
        </w:tabs>
      </w:pPr>
      <w:r w:rsidRPr="00F51C80">
        <w:rPr>
          <w:b/>
        </w:rPr>
        <w:t>IT IS AGREED</w:t>
      </w:r>
      <w:r>
        <w:t xml:space="preserve"> as follows:</w:t>
      </w:r>
    </w:p>
    <w:p w:rsidR="00F51C80" w:rsidRDefault="00F51C80" w:rsidP="00F51C80">
      <w:pPr>
        <w:tabs>
          <w:tab w:val="left" w:pos="-1094"/>
          <w:tab w:val="left" w:pos="-720"/>
          <w:tab w:val="left" w:pos="0"/>
          <w:tab w:val="left" w:pos="540"/>
          <w:tab w:val="left" w:pos="1440"/>
        </w:tabs>
        <w:spacing w:after="120"/>
        <w:jc w:val="both"/>
        <w:rPr>
          <w:rFonts w:ascii="Arial" w:hAnsi="Arial"/>
          <w:sz w:val="20"/>
        </w:rPr>
      </w:pPr>
      <w:r>
        <w:rPr>
          <w:rFonts w:ascii="Arial" w:hAnsi="Arial"/>
          <w:sz w:val="20"/>
        </w:rPr>
        <w:t>1.</w:t>
      </w:r>
      <w:r>
        <w:rPr>
          <w:rFonts w:ascii="Arial" w:hAnsi="Arial"/>
          <w:sz w:val="20"/>
        </w:rPr>
        <w:tab/>
        <w:t>INTELLECTUAL PROPERTY RIGHTS</w:t>
      </w:r>
    </w:p>
    <w:p w:rsidR="00F51C80" w:rsidRDefault="00F51C80" w:rsidP="009105E5">
      <w:pPr>
        <w:tabs>
          <w:tab w:val="left" w:pos="-1094"/>
          <w:tab w:val="left" w:pos="-720"/>
          <w:tab w:val="left" w:pos="0"/>
          <w:tab w:val="left" w:pos="540"/>
          <w:tab w:val="left" w:pos="1440"/>
        </w:tabs>
        <w:spacing w:after="120"/>
        <w:ind w:left="540"/>
        <w:jc w:val="both"/>
        <w:rPr>
          <w:rFonts w:ascii="Arial" w:hAnsi="Arial"/>
          <w:sz w:val="20"/>
        </w:rPr>
      </w:pPr>
      <w:r>
        <w:rPr>
          <w:rFonts w:ascii="Arial" w:hAnsi="Arial"/>
          <w:sz w:val="20"/>
        </w:rPr>
        <w:t>1.1</w:t>
      </w:r>
      <w:r>
        <w:rPr>
          <w:rFonts w:ascii="Arial" w:hAnsi="Arial"/>
          <w:sz w:val="20"/>
        </w:rPr>
        <w:tab/>
      </w:r>
      <w:r>
        <w:rPr>
          <w:rFonts w:ascii="Arial" w:hAnsi="Arial"/>
          <w:sz w:val="20"/>
          <w:u w:val="single"/>
        </w:rPr>
        <w:t>Definitions</w:t>
      </w:r>
    </w:p>
    <w:p w:rsidR="00F51C80" w:rsidRDefault="00F51C80" w:rsidP="009105E5">
      <w:pPr>
        <w:tabs>
          <w:tab w:val="left" w:pos="-1094"/>
          <w:tab w:val="left" w:pos="-720"/>
          <w:tab w:val="left" w:pos="0"/>
          <w:tab w:val="left" w:pos="540"/>
          <w:tab w:val="left" w:pos="1440"/>
        </w:tabs>
        <w:spacing w:after="120"/>
        <w:ind w:left="1080"/>
        <w:jc w:val="both"/>
        <w:rPr>
          <w:rFonts w:ascii="Arial" w:hAnsi="Arial"/>
          <w:sz w:val="20"/>
        </w:rPr>
      </w:pPr>
      <w:r>
        <w:rPr>
          <w:rFonts w:ascii="Arial" w:hAnsi="Arial"/>
          <w:sz w:val="20"/>
        </w:rPr>
        <w:t>The following definitions apply in this Agreement:</w:t>
      </w:r>
    </w:p>
    <w:p w:rsidR="00F51C80" w:rsidRDefault="00F51C80" w:rsidP="009105E5">
      <w:pPr>
        <w:tabs>
          <w:tab w:val="left" w:pos="-1094"/>
          <w:tab w:val="left" w:pos="-720"/>
          <w:tab w:val="left" w:pos="0"/>
          <w:tab w:val="left" w:pos="540"/>
          <w:tab w:val="left" w:pos="1440"/>
        </w:tabs>
        <w:spacing w:after="120"/>
        <w:ind w:left="1080"/>
        <w:jc w:val="both"/>
        <w:rPr>
          <w:rFonts w:ascii="Arial" w:hAnsi="Arial"/>
          <w:sz w:val="20"/>
        </w:rPr>
      </w:pPr>
      <w:r>
        <w:rPr>
          <w:rFonts w:ascii="Arial" w:hAnsi="Arial"/>
          <w:i/>
          <w:sz w:val="20"/>
        </w:rPr>
        <w:t>“Intellectual Property”</w:t>
      </w:r>
      <w:r>
        <w:rPr>
          <w:rFonts w:ascii="Arial" w:hAnsi="Arial"/>
          <w:sz w:val="20"/>
        </w:rPr>
        <w:t xml:space="preserve"> includes inventions (whether patentable or not), patents, patent applications, registered designs and applications thereof, copyright material including computer software, technical information and know-how.</w:t>
      </w:r>
    </w:p>
    <w:p w:rsidR="00F51C80" w:rsidRDefault="00F51C80" w:rsidP="009105E5">
      <w:pPr>
        <w:tabs>
          <w:tab w:val="left" w:pos="-1094"/>
          <w:tab w:val="left" w:pos="-720"/>
          <w:tab w:val="left" w:pos="0"/>
          <w:tab w:val="left" w:pos="540"/>
          <w:tab w:val="left" w:pos="1440"/>
        </w:tabs>
        <w:spacing w:after="120"/>
        <w:ind w:left="1080"/>
        <w:jc w:val="both"/>
        <w:rPr>
          <w:rFonts w:ascii="Arial" w:hAnsi="Arial"/>
          <w:sz w:val="20"/>
        </w:rPr>
      </w:pPr>
      <w:r>
        <w:rPr>
          <w:rFonts w:ascii="Arial" w:hAnsi="Arial"/>
          <w:i/>
          <w:sz w:val="20"/>
        </w:rPr>
        <w:t>“Foreground Intellectual Property”</w:t>
      </w:r>
      <w:r>
        <w:rPr>
          <w:rFonts w:ascii="Arial" w:hAnsi="Arial"/>
          <w:sz w:val="20"/>
        </w:rPr>
        <w:t xml:space="preserve"> includes Intellectual Property arising from the research and development undertaken within this project after the date of signature of this agreement whether generated by one Party or two or more Parties jointly.</w:t>
      </w:r>
    </w:p>
    <w:p w:rsidR="00F51C80" w:rsidRDefault="00F51C80" w:rsidP="009105E5">
      <w:pPr>
        <w:tabs>
          <w:tab w:val="left" w:pos="-1094"/>
          <w:tab w:val="left" w:pos="-720"/>
          <w:tab w:val="left" w:pos="0"/>
          <w:tab w:val="left" w:pos="540"/>
          <w:tab w:val="left" w:pos="1440"/>
        </w:tabs>
        <w:spacing w:after="120"/>
        <w:ind w:left="1080"/>
        <w:jc w:val="both"/>
        <w:rPr>
          <w:rFonts w:ascii="Arial" w:hAnsi="Arial"/>
          <w:sz w:val="20"/>
        </w:rPr>
      </w:pPr>
      <w:r>
        <w:rPr>
          <w:rFonts w:ascii="Arial" w:hAnsi="Arial"/>
          <w:i/>
          <w:sz w:val="20"/>
        </w:rPr>
        <w:t>“Background Intellectual Property”</w:t>
      </w:r>
      <w:r>
        <w:rPr>
          <w:rFonts w:ascii="Arial" w:hAnsi="Arial"/>
          <w:sz w:val="20"/>
        </w:rPr>
        <w:t xml:space="preserve"> includes Intellectual Property deemed to be relevant to the project and already owned by the Parties on the date of signature of this agreement.</w:t>
      </w:r>
    </w:p>
    <w:p w:rsidR="00F51C80" w:rsidRDefault="00F51C80" w:rsidP="009105E5">
      <w:pPr>
        <w:tabs>
          <w:tab w:val="left" w:pos="-1094"/>
          <w:tab w:val="left" w:pos="-720"/>
          <w:tab w:val="left" w:pos="0"/>
          <w:tab w:val="left" w:pos="540"/>
          <w:tab w:val="left" w:pos="1440"/>
        </w:tabs>
        <w:spacing w:after="120"/>
        <w:ind w:left="1080"/>
        <w:jc w:val="both"/>
        <w:rPr>
          <w:rFonts w:ascii="Arial" w:hAnsi="Arial"/>
          <w:sz w:val="20"/>
        </w:rPr>
      </w:pPr>
      <w:r>
        <w:rPr>
          <w:rFonts w:ascii="Arial" w:hAnsi="Arial"/>
          <w:i/>
          <w:sz w:val="20"/>
        </w:rPr>
        <w:t>“Project Completion Date”</w:t>
      </w:r>
      <w:r>
        <w:rPr>
          <w:rFonts w:ascii="Arial" w:hAnsi="Arial"/>
          <w:sz w:val="20"/>
        </w:rPr>
        <w:t xml:space="preserve"> shall mean the date of completion of the research and development activities under this project as defined and determined by the NATO SPS Projects Office.</w:t>
      </w:r>
    </w:p>
    <w:p w:rsidR="00F51C80" w:rsidRDefault="00F51C80" w:rsidP="009105E5">
      <w:pPr>
        <w:tabs>
          <w:tab w:val="left" w:pos="-1094"/>
          <w:tab w:val="left" w:pos="-720"/>
          <w:tab w:val="left" w:pos="0"/>
          <w:tab w:val="left" w:pos="540"/>
          <w:tab w:val="left" w:pos="1440"/>
        </w:tabs>
        <w:ind w:left="1080"/>
        <w:jc w:val="both"/>
        <w:rPr>
          <w:rFonts w:ascii="Arial" w:hAnsi="Arial"/>
          <w:sz w:val="20"/>
        </w:rPr>
      </w:pPr>
      <w:r>
        <w:rPr>
          <w:rFonts w:ascii="Arial" w:hAnsi="Arial"/>
          <w:sz w:val="20"/>
        </w:rPr>
        <w:t xml:space="preserve">The </w:t>
      </w:r>
      <w:r>
        <w:rPr>
          <w:rFonts w:ascii="Arial" w:hAnsi="Arial"/>
          <w:i/>
          <w:sz w:val="20"/>
        </w:rPr>
        <w:t>“IPR Committee”</w:t>
      </w:r>
      <w:r>
        <w:rPr>
          <w:rFonts w:ascii="Arial" w:hAnsi="Arial"/>
          <w:sz w:val="20"/>
        </w:rPr>
        <w:t xml:space="preserve"> is a group comprising a representative from each of the Parties.</w:t>
      </w:r>
    </w:p>
    <w:p w:rsidR="00F51C80" w:rsidRDefault="00F51C80" w:rsidP="009105E5">
      <w:pPr>
        <w:tabs>
          <w:tab w:val="left" w:pos="-1094"/>
          <w:tab w:val="left" w:pos="-720"/>
          <w:tab w:val="left" w:pos="0"/>
          <w:tab w:val="left" w:pos="540"/>
          <w:tab w:val="left" w:pos="1440"/>
        </w:tabs>
        <w:spacing w:after="120"/>
        <w:ind w:left="540"/>
        <w:jc w:val="both"/>
        <w:rPr>
          <w:rFonts w:ascii="Arial" w:hAnsi="Arial"/>
          <w:sz w:val="20"/>
        </w:rPr>
      </w:pPr>
      <w:r>
        <w:rPr>
          <w:rFonts w:ascii="Arial" w:hAnsi="Arial"/>
          <w:sz w:val="20"/>
        </w:rPr>
        <w:t>1.2</w:t>
      </w:r>
      <w:r>
        <w:rPr>
          <w:rFonts w:ascii="Arial" w:hAnsi="Arial"/>
          <w:sz w:val="20"/>
        </w:rPr>
        <w:tab/>
      </w:r>
      <w:r>
        <w:rPr>
          <w:rFonts w:ascii="Arial" w:hAnsi="Arial"/>
          <w:sz w:val="20"/>
          <w:u w:val="single"/>
        </w:rPr>
        <w:t>Ownership and Access Rights</w:t>
      </w:r>
    </w:p>
    <w:p w:rsidR="00F51C80" w:rsidRDefault="00F51C80" w:rsidP="009105E5">
      <w:pPr>
        <w:tabs>
          <w:tab w:val="left" w:pos="-1094"/>
          <w:tab w:val="left" w:pos="-720"/>
          <w:tab w:val="left" w:pos="0"/>
          <w:tab w:val="left" w:pos="540"/>
          <w:tab w:val="left" w:pos="1440"/>
        </w:tabs>
        <w:spacing w:after="120"/>
        <w:ind w:left="1980" w:hanging="900"/>
        <w:jc w:val="both"/>
        <w:rPr>
          <w:rFonts w:ascii="Arial" w:hAnsi="Arial"/>
          <w:sz w:val="20"/>
        </w:rPr>
      </w:pPr>
      <w:r>
        <w:rPr>
          <w:rFonts w:ascii="Arial" w:hAnsi="Arial"/>
          <w:sz w:val="20"/>
        </w:rPr>
        <w:t>1.2.1.</w:t>
      </w:r>
      <w:r>
        <w:rPr>
          <w:rFonts w:ascii="Arial" w:hAnsi="Arial"/>
          <w:sz w:val="20"/>
        </w:rPr>
        <w:tab/>
        <w:t xml:space="preserve">Foreground Intellectual Property shall be owned </w:t>
      </w:r>
    </w:p>
    <w:p w:rsidR="00F51C80" w:rsidRDefault="00F51C80" w:rsidP="009105E5">
      <w:pPr>
        <w:tabs>
          <w:tab w:val="left" w:pos="-1094"/>
          <w:tab w:val="left" w:pos="-720"/>
          <w:tab w:val="left" w:pos="0"/>
          <w:tab w:val="left" w:pos="540"/>
          <w:tab w:val="left" w:pos="1440"/>
        </w:tabs>
        <w:spacing w:after="120"/>
        <w:ind w:left="1980"/>
        <w:jc w:val="both"/>
        <w:rPr>
          <w:rFonts w:ascii="Arial" w:hAnsi="Arial"/>
          <w:sz w:val="20"/>
        </w:rPr>
      </w:pPr>
      <w:r>
        <w:rPr>
          <w:rFonts w:ascii="Arial" w:hAnsi="Arial"/>
          <w:i/>
          <w:sz w:val="20"/>
        </w:rPr>
        <w:t>Option A</w:t>
      </w:r>
    </w:p>
    <w:p w:rsidR="00F51C80" w:rsidRDefault="00F51C80" w:rsidP="009105E5">
      <w:pPr>
        <w:tabs>
          <w:tab w:val="left" w:pos="-1094"/>
          <w:tab w:val="left" w:pos="-720"/>
          <w:tab w:val="left" w:pos="0"/>
          <w:tab w:val="left" w:pos="540"/>
          <w:tab w:val="left" w:pos="1440"/>
        </w:tabs>
        <w:spacing w:after="120"/>
        <w:ind w:left="1980"/>
        <w:jc w:val="both"/>
        <w:rPr>
          <w:rFonts w:ascii="Arial" w:hAnsi="Arial"/>
          <w:sz w:val="20"/>
        </w:rPr>
      </w:pPr>
      <w:r>
        <w:rPr>
          <w:rFonts w:ascii="Arial" w:hAnsi="Arial"/>
          <w:sz w:val="20"/>
        </w:rPr>
        <w:t>Jointly by all the Parties regardless of who generated the Intellectual Property or engaged or employed the person or persons who made or conceived the Intellectual Property.</w:t>
      </w:r>
    </w:p>
    <w:p w:rsidR="00F51C80" w:rsidRDefault="00F51C80" w:rsidP="009105E5">
      <w:pPr>
        <w:tabs>
          <w:tab w:val="left" w:pos="-1094"/>
          <w:tab w:val="left" w:pos="-720"/>
          <w:tab w:val="left" w:pos="0"/>
          <w:tab w:val="left" w:pos="540"/>
          <w:tab w:val="left" w:pos="1440"/>
        </w:tabs>
        <w:spacing w:after="120"/>
        <w:ind w:left="1980"/>
        <w:jc w:val="both"/>
        <w:rPr>
          <w:rFonts w:ascii="Arial" w:hAnsi="Arial"/>
          <w:i/>
          <w:sz w:val="20"/>
        </w:rPr>
      </w:pPr>
      <w:r>
        <w:rPr>
          <w:rFonts w:ascii="Arial" w:hAnsi="Arial"/>
          <w:i/>
          <w:sz w:val="20"/>
        </w:rPr>
        <w:t xml:space="preserve">Or </w:t>
      </w:r>
    </w:p>
    <w:p w:rsidR="00F51C80" w:rsidRDefault="00F51C80" w:rsidP="009105E5">
      <w:pPr>
        <w:tabs>
          <w:tab w:val="left" w:pos="-1094"/>
          <w:tab w:val="left" w:pos="-720"/>
          <w:tab w:val="left" w:pos="0"/>
          <w:tab w:val="left" w:pos="540"/>
          <w:tab w:val="left" w:pos="1440"/>
        </w:tabs>
        <w:spacing w:after="120"/>
        <w:ind w:left="1080" w:firstLine="900"/>
        <w:jc w:val="both"/>
        <w:rPr>
          <w:rFonts w:ascii="Arial" w:hAnsi="Arial"/>
          <w:sz w:val="20"/>
        </w:rPr>
      </w:pPr>
      <w:r>
        <w:rPr>
          <w:rFonts w:ascii="Arial" w:hAnsi="Arial"/>
          <w:i/>
          <w:sz w:val="20"/>
        </w:rPr>
        <w:t>Option B</w:t>
      </w:r>
    </w:p>
    <w:p w:rsidR="00F51C80" w:rsidRDefault="00F51C80" w:rsidP="009105E5">
      <w:pPr>
        <w:tabs>
          <w:tab w:val="left" w:pos="-1094"/>
          <w:tab w:val="left" w:pos="-720"/>
          <w:tab w:val="left" w:pos="0"/>
          <w:tab w:val="left" w:pos="540"/>
          <w:tab w:val="left" w:pos="1440"/>
        </w:tabs>
        <w:spacing w:after="120"/>
        <w:ind w:left="2700" w:hanging="720"/>
        <w:jc w:val="both"/>
        <w:rPr>
          <w:rFonts w:ascii="Arial" w:hAnsi="Arial"/>
          <w:sz w:val="20"/>
        </w:rPr>
      </w:pPr>
      <w:r>
        <w:rPr>
          <w:rFonts w:ascii="Arial" w:hAnsi="Arial"/>
          <w:sz w:val="20"/>
        </w:rPr>
        <w:t>(a)</w:t>
      </w:r>
      <w:r>
        <w:rPr>
          <w:rFonts w:ascii="Arial" w:hAnsi="Arial"/>
          <w:sz w:val="20"/>
        </w:rPr>
        <w:tab/>
        <w:t>Solely by the Party who generated the Intellectual Property or engaged or employed the person or persons who made or conceived the Intellectual Property, and,</w:t>
      </w:r>
    </w:p>
    <w:p w:rsidR="00F51C80" w:rsidRDefault="00F51C80" w:rsidP="009105E5">
      <w:pPr>
        <w:tabs>
          <w:tab w:val="left" w:pos="-1094"/>
          <w:tab w:val="left" w:pos="-720"/>
          <w:tab w:val="left" w:pos="0"/>
          <w:tab w:val="left" w:pos="540"/>
          <w:tab w:val="left" w:pos="1440"/>
        </w:tabs>
        <w:spacing w:after="120"/>
        <w:ind w:left="2700" w:hanging="720"/>
        <w:jc w:val="both"/>
        <w:rPr>
          <w:rFonts w:ascii="Arial" w:hAnsi="Arial"/>
          <w:sz w:val="20"/>
        </w:rPr>
      </w:pPr>
      <w:r>
        <w:rPr>
          <w:rFonts w:ascii="Arial" w:hAnsi="Arial"/>
          <w:sz w:val="20"/>
        </w:rPr>
        <w:t>(b)</w:t>
      </w:r>
      <w:r>
        <w:rPr>
          <w:rFonts w:ascii="Arial" w:hAnsi="Arial"/>
          <w:sz w:val="20"/>
        </w:rPr>
        <w:tab/>
        <w:t>Jointly by the Parties who generated the Intellectual Property or engaged or employed the person or persons who made or conceived the Intellectual Property.</w:t>
      </w:r>
    </w:p>
    <w:p w:rsidR="00F51C80" w:rsidRDefault="00F51C80" w:rsidP="009105E5">
      <w:pPr>
        <w:tabs>
          <w:tab w:val="left" w:pos="-1094"/>
          <w:tab w:val="left" w:pos="-720"/>
          <w:tab w:val="left" w:pos="0"/>
          <w:tab w:val="left" w:pos="540"/>
          <w:tab w:val="left" w:pos="1440"/>
        </w:tabs>
        <w:spacing w:after="120"/>
        <w:ind w:left="1980" w:hanging="900"/>
        <w:jc w:val="both"/>
        <w:rPr>
          <w:rFonts w:ascii="Arial" w:hAnsi="Arial"/>
          <w:sz w:val="20"/>
        </w:rPr>
      </w:pPr>
      <w:r>
        <w:rPr>
          <w:rFonts w:ascii="Arial" w:hAnsi="Arial"/>
          <w:sz w:val="20"/>
        </w:rPr>
        <w:t>1.2.2.</w:t>
      </w:r>
      <w:r>
        <w:rPr>
          <w:rFonts w:ascii="Arial" w:hAnsi="Arial"/>
          <w:sz w:val="20"/>
        </w:rPr>
        <w:tab/>
        <w:t>Background Intellectual Property shall be made freely available to all the Parties solely for the purpose and for the duration of the research and development activities of the project.</w:t>
      </w:r>
    </w:p>
    <w:p w:rsidR="00F51C80" w:rsidRDefault="00F51C80" w:rsidP="009105E5">
      <w:pPr>
        <w:tabs>
          <w:tab w:val="left" w:pos="-1094"/>
          <w:tab w:val="left" w:pos="-720"/>
          <w:tab w:val="left" w:pos="0"/>
          <w:tab w:val="left" w:pos="540"/>
          <w:tab w:val="left" w:pos="1440"/>
        </w:tabs>
        <w:ind w:left="1980" w:hanging="900"/>
        <w:jc w:val="both"/>
        <w:rPr>
          <w:rFonts w:ascii="Arial" w:hAnsi="Arial"/>
          <w:sz w:val="20"/>
        </w:rPr>
      </w:pPr>
      <w:r>
        <w:rPr>
          <w:rFonts w:ascii="Arial" w:hAnsi="Arial"/>
          <w:sz w:val="20"/>
        </w:rPr>
        <w:t>1.2.3</w:t>
      </w:r>
      <w:r>
        <w:rPr>
          <w:rFonts w:ascii="Arial" w:hAnsi="Arial"/>
          <w:sz w:val="20"/>
        </w:rPr>
        <w:tab/>
        <w:t>Participation in this project shall not itself affect any rights of any Party to Foreground Intellectual Property or Background Intellectual Property except as specifically mentioned herein.</w:t>
      </w:r>
    </w:p>
    <w:p w:rsidR="00F51C80" w:rsidRDefault="00F51C80" w:rsidP="00F51C80">
      <w:pPr>
        <w:tabs>
          <w:tab w:val="left" w:pos="-1094"/>
          <w:tab w:val="left" w:pos="-720"/>
          <w:tab w:val="left" w:pos="0"/>
          <w:tab w:val="left" w:pos="540"/>
          <w:tab w:val="left" w:pos="1440"/>
        </w:tabs>
        <w:spacing w:after="120"/>
        <w:jc w:val="both"/>
        <w:rPr>
          <w:rFonts w:ascii="Arial" w:hAnsi="Arial"/>
          <w:sz w:val="20"/>
        </w:rPr>
      </w:pPr>
      <w:r>
        <w:rPr>
          <w:rFonts w:ascii="Arial" w:hAnsi="Arial"/>
          <w:sz w:val="20"/>
        </w:rPr>
        <w:t>2.</w:t>
      </w:r>
      <w:r>
        <w:rPr>
          <w:rFonts w:ascii="Arial" w:hAnsi="Arial"/>
          <w:sz w:val="20"/>
        </w:rPr>
        <w:tab/>
        <w:t>EXPLOITATION</w:t>
      </w:r>
    </w:p>
    <w:p w:rsidR="00F51C80" w:rsidRDefault="00F51C80" w:rsidP="009105E5">
      <w:pPr>
        <w:tabs>
          <w:tab w:val="left" w:pos="-1094"/>
          <w:tab w:val="left" w:pos="-720"/>
          <w:tab w:val="left" w:pos="0"/>
          <w:tab w:val="left" w:pos="540"/>
          <w:tab w:val="left" w:pos="1440"/>
        </w:tabs>
        <w:spacing w:after="120"/>
        <w:ind w:left="540"/>
        <w:jc w:val="both"/>
        <w:rPr>
          <w:rFonts w:ascii="Arial" w:hAnsi="Arial"/>
          <w:sz w:val="20"/>
        </w:rPr>
      </w:pPr>
      <w:r>
        <w:rPr>
          <w:rFonts w:ascii="Arial" w:hAnsi="Arial"/>
          <w:sz w:val="20"/>
        </w:rPr>
        <w:t>2.1</w:t>
      </w:r>
      <w:r>
        <w:rPr>
          <w:rFonts w:ascii="Arial" w:hAnsi="Arial"/>
          <w:sz w:val="20"/>
        </w:rPr>
        <w:tab/>
      </w:r>
      <w:r>
        <w:rPr>
          <w:rFonts w:ascii="Arial" w:hAnsi="Arial"/>
          <w:sz w:val="20"/>
          <w:u w:val="single"/>
        </w:rPr>
        <w:t>Foreground Intellectual Property</w:t>
      </w:r>
    </w:p>
    <w:p w:rsidR="00F51C80" w:rsidRDefault="00F51C80" w:rsidP="009105E5">
      <w:pPr>
        <w:tabs>
          <w:tab w:val="left" w:pos="-1094"/>
          <w:tab w:val="left" w:pos="-720"/>
          <w:tab w:val="left" w:pos="0"/>
          <w:tab w:val="left" w:pos="540"/>
          <w:tab w:val="left" w:pos="1440"/>
        </w:tabs>
        <w:spacing w:after="120"/>
        <w:ind w:left="1080"/>
        <w:jc w:val="both"/>
        <w:rPr>
          <w:rFonts w:ascii="Arial" w:hAnsi="Arial"/>
          <w:sz w:val="20"/>
        </w:rPr>
      </w:pPr>
      <w:r>
        <w:rPr>
          <w:rFonts w:ascii="Arial" w:hAnsi="Arial"/>
          <w:i/>
          <w:sz w:val="20"/>
        </w:rPr>
        <w:t>Option A in accordance with 1.2.1</w:t>
      </w:r>
    </w:p>
    <w:p w:rsidR="00F51C80" w:rsidRDefault="00F51C80" w:rsidP="009105E5">
      <w:pPr>
        <w:tabs>
          <w:tab w:val="left" w:pos="-1094"/>
          <w:tab w:val="left" w:pos="-720"/>
          <w:tab w:val="left" w:pos="0"/>
          <w:tab w:val="left" w:pos="540"/>
          <w:tab w:val="left" w:pos="1440"/>
        </w:tabs>
        <w:spacing w:after="120"/>
        <w:ind w:left="1080"/>
        <w:jc w:val="both"/>
        <w:rPr>
          <w:rFonts w:ascii="Arial" w:hAnsi="Arial"/>
          <w:sz w:val="20"/>
        </w:rPr>
      </w:pPr>
      <w:r>
        <w:rPr>
          <w:rFonts w:ascii="Arial" w:hAnsi="Arial"/>
          <w:sz w:val="20"/>
        </w:rPr>
        <w:t>All Parties shall have free use of all Foreground Intellectual Property to exploit the results by themselves.</w:t>
      </w:r>
      <w:r w:rsidR="009105E5">
        <w:rPr>
          <w:rFonts w:ascii="Arial" w:hAnsi="Arial"/>
          <w:sz w:val="20"/>
        </w:rPr>
        <w:t xml:space="preserve"> </w:t>
      </w:r>
    </w:p>
    <w:p w:rsidR="00F51C80" w:rsidRDefault="00F51C80" w:rsidP="009105E5">
      <w:pPr>
        <w:tabs>
          <w:tab w:val="left" w:pos="-1094"/>
          <w:tab w:val="left" w:pos="-720"/>
          <w:tab w:val="left" w:pos="0"/>
          <w:tab w:val="left" w:pos="540"/>
          <w:tab w:val="left" w:pos="1440"/>
        </w:tabs>
        <w:spacing w:after="120"/>
        <w:ind w:left="1080"/>
        <w:jc w:val="both"/>
        <w:rPr>
          <w:rFonts w:ascii="Arial" w:hAnsi="Arial"/>
          <w:sz w:val="20"/>
        </w:rPr>
      </w:pPr>
      <w:r>
        <w:rPr>
          <w:rFonts w:ascii="Arial" w:hAnsi="Arial"/>
          <w:sz w:val="20"/>
        </w:rPr>
        <w:t xml:space="preserve">Each Party can grant sub-licences, subject to prior approval by the IPR Committee. </w:t>
      </w:r>
    </w:p>
    <w:p w:rsidR="00F51C80" w:rsidRDefault="00F51C80" w:rsidP="009105E5">
      <w:pPr>
        <w:tabs>
          <w:tab w:val="left" w:pos="-1094"/>
          <w:tab w:val="left" w:pos="-720"/>
          <w:tab w:val="left" w:pos="0"/>
          <w:tab w:val="left" w:pos="540"/>
          <w:tab w:val="left" w:pos="1440"/>
        </w:tabs>
        <w:spacing w:after="120"/>
        <w:ind w:left="1080"/>
        <w:jc w:val="both"/>
        <w:rPr>
          <w:rFonts w:ascii="Arial" w:hAnsi="Arial"/>
          <w:sz w:val="20"/>
        </w:rPr>
      </w:pPr>
      <w:r>
        <w:rPr>
          <w:rFonts w:ascii="Arial" w:hAnsi="Arial"/>
          <w:i/>
          <w:sz w:val="20"/>
        </w:rPr>
        <w:t>Option B in accordance with 1.2.1</w:t>
      </w:r>
    </w:p>
    <w:p w:rsidR="00F51C80" w:rsidRDefault="00F51C80" w:rsidP="009105E5">
      <w:pPr>
        <w:pStyle w:val="BodyTextIndent2"/>
        <w:ind w:left="1080"/>
      </w:pPr>
      <w:r>
        <w:t>The Party or Parties shall, on request, grant the other(s) a license on fair and reasonable terms, to use any Foreground Intellectual Property that is required for the exploitation of the results.</w:t>
      </w:r>
    </w:p>
    <w:p w:rsidR="00F51C80" w:rsidRDefault="00F51C80" w:rsidP="009105E5">
      <w:pPr>
        <w:tabs>
          <w:tab w:val="left" w:pos="-1094"/>
          <w:tab w:val="left" w:pos="-720"/>
          <w:tab w:val="left" w:pos="0"/>
          <w:tab w:val="left" w:pos="540"/>
          <w:tab w:val="left" w:pos="1440"/>
        </w:tabs>
        <w:spacing w:after="120"/>
        <w:ind w:left="540"/>
        <w:jc w:val="both"/>
        <w:rPr>
          <w:rFonts w:ascii="Arial" w:hAnsi="Arial"/>
          <w:sz w:val="20"/>
        </w:rPr>
      </w:pPr>
      <w:r>
        <w:rPr>
          <w:rFonts w:ascii="Arial" w:hAnsi="Arial"/>
          <w:sz w:val="20"/>
        </w:rPr>
        <w:t>2.2</w:t>
      </w:r>
      <w:r>
        <w:rPr>
          <w:rFonts w:ascii="Arial" w:hAnsi="Arial"/>
          <w:sz w:val="20"/>
        </w:rPr>
        <w:tab/>
      </w:r>
      <w:r>
        <w:rPr>
          <w:rFonts w:ascii="Arial" w:hAnsi="Arial"/>
          <w:sz w:val="20"/>
          <w:u w:val="single"/>
        </w:rPr>
        <w:t>Background Intellectual Property</w:t>
      </w:r>
    </w:p>
    <w:p w:rsidR="00F51C80" w:rsidRDefault="00F51C80" w:rsidP="009105E5">
      <w:pPr>
        <w:tabs>
          <w:tab w:val="left" w:pos="-1094"/>
          <w:tab w:val="left" w:pos="-720"/>
          <w:tab w:val="left" w:pos="0"/>
          <w:tab w:val="left" w:pos="540"/>
          <w:tab w:val="left" w:pos="1440"/>
        </w:tabs>
        <w:spacing w:after="120"/>
        <w:ind w:left="1980" w:hanging="900"/>
        <w:jc w:val="both"/>
        <w:rPr>
          <w:rFonts w:ascii="Arial" w:hAnsi="Arial"/>
          <w:sz w:val="20"/>
        </w:rPr>
      </w:pPr>
      <w:r>
        <w:rPr>
          <w:rFonts w:ascii="Arial" w:hAnsi="Arial"/>
          <w:sz w:val="20"/>
        </w:rPr>
        <w:t>2.2.1</w:t>
      </w:r>
      <w:r>
        <w:rPr>
          <w:rFonts w:ascii="Arial" w:hAnsi="Arial"/>
          <w:sz w:val="20"/>
        </w:rPr>
        <w:tab/>
        <w:t>Each Party shall, on request, grant the other(s) a license on fair and reasonable terms, to use any Background Intellectual Property that is required for the exploitation of the Foreground Intellectual Property.</w:t>
      </w:r>
      <w:r w:rsidR="009105E5">
        <w:rPr>
          <w:rFonts w:ascii="Arial" w:hAnsi="Arial"/>
          <w:sz w:val="20"/>
        </w:rPr>
        <w:t xml:space="preserve"> </w:t>
      </w:r>
    </w:p>
    <w:p w:rsidR="00F51C80" w:rsidRDefault="00F51C80" w:rsidP="009105E5">
      <w:pPr>
        <w:tabs>
          <w:tab w:val="left" w:pos="-1094"/>
          <w:tab w:val="left" w:pos="-720"/>
          <w:tab w:val="left" w:pos="0"/>
          <w:tab w:val="left" w:pos="540"/>
          <w:tab w:val="left" w:pos="1440"/>
        </w:tabs>
        <w:spacing w:after="120"/>
        <w:ind w:left="1980" w:hanging="900"/>
        <w:jc w:val="both"/>
        <w:rPr>
          <w:rFonts w:ascii="Arial" w:hAnsi="Arial"/>
          <w:sz w:val="20"/>
        </w:rPr>
      </w:pPr>
      <w:r>
        <w:rPr>
          <w:rFonts w:ascii="Arial" w:hAnsi="Arial"/>
          <w:sz w:val="20"/>
        </w:rPr>
        <w:t>2.2.2</w:t>
      </w:r>
      <w:r>
        <w:rPr>
          <w:rFonts w:ascii="Arial" w:hAnsi="Arial"/>
          <w:sz w:val="20"/>
        </w:rPr>
        <w:tab/>
        <w:t xml:space="preserve">Each Party can grant sub-licences, subject to prior approval by the IPR Committee. </w:t>
      </w:r>
    </w:p>
    <w:p w:rsidR="00F51C80" w:rsidRDefault="00F51C80" w:rsidP="009105E5">
      <w:pPr>
        <w:widowControl w:val="0"/>
        <w:numPr>
          <w:ilvl w:val="1"/>
          <w:numId w:val="24"/>
        </w:numPr>
        <w:tabs>
          <w:tab w:val="clear" w:pos="540"/>
          <w:tab w:val="left" w:pos="-1094"/>
          <w:tab w:val="left" w:pos="-720"/>
          <w:tab w:val="left" w:pos="0"/>
          <w:tab w:val="left" w:pos="567"/>
        </w:tabs>
        <w:spacing w:after="120"/>
        <w:ind w:left="1079" w:hanging="539"/>
        <w:jc w:val="both"/>
        <w:rPr>
          <w:rFonts w:ascii="Arial" w:hAnsi="Arial"/>
          <w:sz w:val="20"/>
        </w:rPr>
      </w:pPr>
      <w:r>
        <w:rPr>
          <w:rFonts w:ascii="Arial" w:hAnsi="Arial"/>
          <w:sz w:val="20"/>
        </w:rPr>
        <w:t>In the event that neither Party wishes to exploit the Foreground Intellectual Property, they shall not refuse to grant licences to requesting 3rd parties on fair and reasonable terms.</w:t>
      </w:r>
      <w:r w:rsidR="009105E5">
        <w:rPr>
          <w:rFonts w:ascii="Arial" w:hAnsi="Arial"/>
          <w:sz w:val="20"/>
        </w:rPr>
        <w:t xml:space="preserve"> </w:t>
      </w:r>
      <w:r>
        <w:rPr>
          <w:rFonts w:ascii="Arial" w:hAnsi="Arial"/>
          <w:sz w:val="20"/>
        </w:rPr>
        <w:t>Licensing to non-EAPC countries shall be subject to NATO approval.</w:t>
      </w:r>
    </w:p>
    <w:p w:rsidR="00F51C80" w:rsidRDefault="00F51C80" w:rsidP="009105E5">
      <w:pPr>
        <w:tabs>
          <w:tab w:val="left" w:pos="-1094"/>
          <w:tab w:val="left" w:pos="-720"/>
          <w:tab w:val="left" w:pos="0"/>
          <w:tab w:val="left" w:pos="540"/>
          <w:tab w:val="left" w:pos="1440"/>
        </w:tabs>
        <w:ind w:left="1080" w:hanging="540"/>
        <w:jc w:val="both"/>
        <w:rPr>
          <w:rFonts w:ascii="Arial" w:hAnsi="Arial"/>
          <w:sz w:val="20"/>
        </w:rPr>
      </w:pPr>
      <w:r>
        <w:rPr>
          <w:rFonts w:ascii="Arial" w:hAnsi="Arial"/>
          <w:sz w:val="20"/>
        </w:rPr>
        <w:t>2.4</w:t>
      </w:r>
      <w:r>
        <w:rPr>
          <w:rFonts w:ascii="Arial" w:hAnsi="Arial"/>
          <w:sz w:val="20"/>
        </w:rPr>
        <w:tab/>
        <w:t>In the event that none of the Parties provides proof or evidence of diligent efforts to exploit the Foreground Intellectual Property to the NATO SPS Projects Office within a period of 3 years after the Project Completion Date, they shall not refuse to grant licences to requesting 3rd parties on fair and reasonable terms.</w:t>
      </w:r>
      <w:r w:rsidR="009105E5">
        <w:rPr>
          <w:rFonts w:ascii="Arial" w:hAnsi="Arial"/>
          <w:sz w:val="20"/>
        </w:rPr>
        <w:t xml:space="preserve"> </w:t>
      </w:r>
      <w:r>
        <w:rPr>
          <w:rFonts w:ascii="Arial" w:hAnsi="Arial"/>
          <w:sz w:val="20"/>
        </w:rPr>
        <w:t>Licensing to non-EAPC countries shall be subject to NATO approval.</w:t>
      </w:r>
    </w:p>
    <w:p w:rsidR="00F51C80" w:rsidRDefault="00F51C80" w:rsidP="00F51C80">
      <w:pPr>
        <w:tabs>
          <w:tab w:val="left" w:pos="-1094"/>
          <w:tab w:val="left" w:pos="-720"/>
          <w:tab w:val="left" w:pos="0"/>
          <w:tab w:val="left" w:pos="540"/>
          <w:tab w:val="left" w:pos="1440"/>
        </w:tabs>
        <w:spacing w:after="120"/>
        <w:jc w:val="both"/>
        <w:rPr>
          <w:rFonts w:ascii="Arial" w:hAnsi="Arial"/>
          <w:sz w:val="20"/>
        </w:rPr>
      </w:pPr>
      <w:r>
        <w:rPr>
          <w:rFonts w:ascii="Arial" w:hAnsi="Arial"/>
          <w:sz w:val="20"/>
        </w:rPr>
        <w:t>3.</w:t>
      </w:r>
      <w:r>
        <w:rPr>
          <w:rFonts w:ascii="Arial" w:hAnsi="Arial"/>
          <w:sz w:val="20"/>
        </w:rPr>
        <w:tab/>
        <w:t>INTELLECTUAL PROPERTY PROSECUTION AND ENFORCEMENT</w:t>
      </w:r>
    </w:p>
    <w:p w:rsidR="00F51C80" w:rsidRDefault="00F51C80" w:rsidP="009105E5">
      <w:pPr>
        <w:tabs>
          <w:tab w:val="left" w:pos="-1094"/>
          <w:tab w:val="left" w:pos="-720"/>
          <w:tab w:val="left" w:pos="0"/>
          <w:tab w:val="left" w:pos="540"/>
          <w:tab w:val="left" w:pos="1440"/>
        </w:tabs>
        <w:spacing w:after="120"/>
        <w:ind w:left="1080" w:hanging="540"/>
        <w:jc w:val="both"/>
        <w:rPr>
          <w:rFonts w:ascii="Arial" w:hAnsi="Arial"/>
          <w:sz w:val="20"/>
        </w:rPr>
      </w:pPr>
      <w:r>
        <w:rPr>
          <w:rFonts w:ascii="Arial" w:hAnsi="Arial"/>
          <w:sz w:val="20"/>
        </w:rPr>
        <w:t>3.1</w:t>
      </w:r>
      <w:r>
        <w:rPr>
          <w:rFonts w:ascii="Arial" w:hAnsi="Arial"/>
          <w:sz w:val="20"/>
        </w:rPr>
        <w:tab/>
        <w:t>The Parties shall on a regular basis report any information relevant to Intellectual Property to the IPR Committee.</w:t>
      </w:r>
      <w:r w:rsidR="009105E5">
        <w:rPr>
          <w:rFonts w:ascii="Arial" w:hAnsi="Arial"/>
          <w:sz w:val="20"/>
        </w:rPr>
        <w:t xml:space="preserve"> </w:t>
      </w:r>
      <w:r>
        <w:rPr>
          <w:rFonts w:ascii="Arial" w:hAnsi="Arial"/>
          <w:sz w:val="20"/>
        </w:rPr>
        <w:t>Decisions on the protection, filing and prosecution of Foreground Intellectual Property shall be taken by the IPR Committee.</w:t>
      </w:r>
    </w:p>
    <w:p w:rsidR="00F51C80" w:rsidRDefault="00F51C80" w:rsidP="009105E5">
      <w:pPr>
        <w:tabs>
          <w:tab w:val="left" w:pos="-1094"/>
          <w:tab w:val="left" w:pos="-720"/>
          <w:tab w:val="left" w:pos="0"/>
          <w:tab w:val="left" w:pos="540"/>
          <w:tab w:val="left" w:pos="1440"/>
        </w:tabs>
        <w:spacing w:after="120"/>
        <w:ind w:left="1080" w:hanging="540"/>
        <w:jc w:val="both"/>
        <w:rPr>
          <w:rFonts w:ascii="Arial" w:hAnsi="Arial"/>
          <w:sz w:val="20"/>
        </w:rPr>
      </w:pPr>
      <w:r>
        <w:rPr>
          <w:rFonts w:ascii="Arial" w:hAnsi="Arial"/>
          <w:sz w:val="20"/>
        </w:rPr>
        <w:t>3.2</w:t>
      </w:r>
      <w:r>
        <w:rPr>
          <w:rFonts w:ascii="Arial" w:hAnsi="Arial"/>
          <w:sz w:val="20"/>
        </w:rPr>
        <w:tab/>
        <w:t>Any Party shall immediately inform the other Party(</w:t>
      </w:r>
      <w:proofErr w:type="spellStart"/>
      <w:r>
        <w:rPr>
          <w:rFonts w:ascii="Arial" w:hAnsi="Arial"/>
          <w:sz w:val="20"/>
        </w:rPr>
        <w:t>ies</w:t>
      </w:r>
      <w:proofErr w:type="spellEnd"/>
      <w:r>
        <w:rPr>
          <w:rFonts w:ascii="Arial" w:hAnsi="Arial"/>
          <w:sz w:val="20"/>
        </w:rPr>
        <w:t>) and the IPR Committee of any potential infringement of the Foreground Intellectual Property of which it becomes aware.</w:t>
      </w:r>
      <w:r w:rsidR="009105E5">
        <w:rPr>
          <w:rFonts w:ascii="Arial" w:hAnsi="Arial"/>
          <w:sz w:val="20"/>
        </w:rPr>
        <w:t xml:space="preserve"> </w:t>
      </w:r>
      <w:r>
        <w:rPr>
          <w:rFonts w:ascii="Arial" w:hAnsi="Arial"/>
          <w:sz w:val="20"/>
        </w:rPr>
        <w:t>The owner(s) of the Foreground Intellectual Property shall decide on any enforcement action and inform the IPR Committee accordingly.</w:t>
      </w:r>
    </w:p>
    <w:p w:rsidR="00F51C80" w:rsidRDefault="00F51C80" w:rsidP="009105E5">
      <w:pPr>
        <w:tabs>
          <w:tab w:val="left" w:pos="-1094"/>
          <w:tab w:val="left" w:pos="-720"/>
          <w:tab w:val="left" w:pos="0"/>
          <w:tab w:val="left" w:pos="540"/>
          <w:tab w:val="left" w:pos="1440"/>
        </w:tabs>
        <w:ind w:left="1080" w:hanging="540"/>
        <w:jc w:val="both"/>
        <w:rPr>
          <w:rFonts w:ascii="Arial" w:hAnsi="Arial"/>
          <w:sz w:val="20"/>
        </w:rPr>
      </w:pPr>
      <w:r>
        <w:rPr>
          <w:rFonts w:ascii="Arial" w:hAnsi="Arial"/>
          <w:sz w:val="20"/>
        </w:rPr>
        <w:t>3.3</w:t>
      </w:r>
      <w:r>
        <w:rPr>
          <w:rFonts w:ascii="Arial" w:hAnsi="Arial"/>
          <w:sz w:val="20"/>
        </w:rPr>
        <w:tab/>
        <w:t>In principle, each Party shall meet the costs of protecting its own Intellectual Property, its prosecution and enforcement.</w:t>
      </w:r>
      <w:r w:rsidR="009105E5">
        <w:rPr>
          <w:rFonts w:ascii="Arial" w:hAnsi="Arial"/>
          <w:sz w:val="20"/>
        </w:rPr>
        <w:t xml:space="preserve"> </w:t>
      </w:r>
      <w:r>
        <w:rPr>
          <w:rFonts w:ascii="Arial" w:hAnsi="Arial"/>
          <w:sz w:val="20"/>
        </w:rPr>
        <w:t>The cost sharing of joint Intellectual Property prosecution and enforcement shall be agreed by the Parties involved.</w:t>
      </w:r>
    </w:p>
    <w:p w:rsidR="00F51C80" w:rsidRDefault="00F51C80" w:rsidP="00F51C80">
      <w:pPr>
        <w:tabs>
          <w:tab w:val="left" w:pos="-1094"/>
          <w:tab w:val="left" w:pos="-720"/>
          <w:tab w:val="left" w:pos="0"/>
          <w:tab w:val="left" w:pos="540"/>
          <w:tab w:val="left" w:pos="1440"/>
        </w:tabs>
        <w:spacing w:after="120"/>
        <w:jc w:val="both"/>
        <w:rPr>
          <w:rFonts w:ascii="Arial" w:hAnsi="Arial"/>
          <w:sz w:val="20"/>
        </w:rPr>
      </w:pPr>
      <w:r>
        <w:rPr>
          <w:rFonts w:ascii="Arial" w:hAnsi="Arial"/>
          <w:sz w:val="20"/>
        </w:rPr>
        <w:t>4.</w:t>
      </w:r>
      <w:r>
        <w:rPr>
          <w:rFonts w:ascii="Arial" w:hAnsi="Arial"/>
          <w:sz w:val="20"/>
        </w:rPr>
        <w:tab/>
        <w:t>INFRINGEMENT OF THIRD PARTY INTELLECTUAL PROPERTY</w:t>
      </w:r>
    </w:p>
    <w:p w:rsidR="00F51C80" w:rsidRDefault="00F51C80" w:rsidP="00F51C80">
      <w:pPr>
        <w:tabs>
          <w:tab w:val="left" w:pos="-1094"/>
          <w:tab w:val="left" w:pos="-720"/>
          <w:tab w:val="left" w:pos="0"/>
          <w:tab w:val="left" w:pos="540"/>
          <w:tab w:val="left" w:pos="1440"/>
        </w:tabs>
        <w:ind w:left="540"/>
        <w:jc w:val="both"/>
        <w:rPr>
          <w:rFonts w:ascii="Arial" w:hAnsi="Arial"/>
          <w:sz w:val="20"/>
        </w:rPr>
      </w:pPr>
      <w:r>
        <w:rPr>
          <w:rFonts w:ascii="Arial" w:hAnsi="Arial"/>
          <w:sz w:val="20"/>
        </w:rPr>
        <w:t>Any Party shall immediately inform the other Party(</w:t>
      </w:r>
      <w:proofErr w:type="spellStart"/>
      <w:r>
        <w:rPr>
          <w:rFonts w:ascii="Arial" w:hAnsi="Arial"/>
          <w:sz w:val="20"/>
        </w:rPr>
        <w:t>ies</w:t>
      </w:r>
      <w:proofErr w:type="spellEnd"/>
      <w:r>
        <w:rPr>
          <w:rFonts w:ascii="Arial" w:hAnsi="Arial"/>
          <w:sz w:val="20"/>
        </w:rPr>
        <w:t>) and the IPR Committee of any evidence of infringement of a Third party Intellectual Property.</w:t>
      </w:r>
      <w:r w:rsidR="009105E5">
        <w:rPr>
          <w:rFonts w:ascii="Arial" w:hAnsi="Arial"/>
          <w:sz w:val="20"/>
        </w:rPr>
        <w:t xml:space="preserve"> </w:t>
      </w:r>
      <w:r>
        <w:rPr>
          <w:rFonts w:ascii="Arial" w:hAnsi="Arial"/>
          <w:sz w:val="20"/>
        </w:rPr>
        <w:t>The IPR Committee shall inform the SfP Programme Office immediately when evidence of the potential infringement of Third party Intellectual Property is discovered.</w:t>
      </w:r>
      <w:r w:rsidR="009105E5">
        <w:rPr>
          <w:rFonts w:ascii="Arial" w:hAnsi="Arial"/>
          <w:sz w:val="20"/>
        </w:rPr>
        <w:t xml:space="preserve"> </w:t>
      </w:r>
      <w:r>
        <w:rPr>
          <w:rFonts w:ascii="Arial" w:hAnsi="Arial"/>
          <w:sz w:val="20"/>
        </w:rPr>
        <w:t>The IPR Committee will propose to the NATO SPS Projects Office potential solutions in order to try to avoid conflict with such third party.</w:t>
      </w:r>
    </w:p>
    <w:p w:rsidR="00F51C80" w:rsidRDefault="00F51C80" w:rsidP="00F51C80">
      <w:pPr>
        <w:tabs>
          <w:tab w:val="left" w:pos="-1094"/>
          <w:tab w:val="left" w:pos="-720"/>
          <w:tab w:val="left" w:pos="0"/>
          <w:tab w:val="left" w:pos="540"/>
          <w:tab w:val="left" w:pos="1440"/>
        </w:tabs>
        <w:spacing w:after="120"/>
        <w:ind w:left="540" w:hanging="540"/>
        <w:jc w:val="both"/>
        <w:rPr>
          <w:rFonts w:ascii="Arial" w:hAnsi="Arial"/>
          <w:sz w:val="20"/>
        </w:rPr>
      </w:pPr>
      <w:r>
        <w:rPr>
          <w:rFonts w:ascii="Arial" w:hAnsi="Arial"/>
          <w:sz w:val="20"/>
        </w:rPr>
        <w:t>5.</w:t>
      </w:r>
      <w:r>
        <w:rPr>
          <w:rFonts w:ascii="Arial" w:hAnsi="Arial"/>
          <w:sz w:val="20"/>
        </w:rPr>
        <w:tab/>
        <w:t>CONFIDENTIALITY</w:t>
      </w:r>
    </w:p>
    <w:p w:rsidR="00F51C80" w:rsidRDefault="00F51C80" w:rsidP="009105E5">
      <w:pPr>
        <w:tabs>
          <w:tab w:val="left" w:pos="-1094"/>
          <w:tab w:val="left" w:pos="-720"/>
          <w:tab w:val="left" w:pos="0"/>
          <w:tab w:val="left" w:pos="540"/>
          <w:tab w:val="left" w:pos="1440"/>
        </w:tabs>
        <w:spacing w:after="120"/>
        <w:ind w:left="1080" w:hanging="540"/>
        <w:jc w:val="both"/>
        <w:rPr>
          <w:rFonts w:ascii="Arial" w:hAnsi="Arial"/>
          <w:sz w:val="20"/>
        </w:rPr>
      </w:pPr>
      <w:r>
        <w:rPr>
          <w:rFonts w:ascii="Arial" w:hAnsi="Arial"/>
          <w:sz w:val="20"/>
        </w:rPr>
        <w:t>5.1</w:t>
      </w:r>
      <w:r>
        <w:rPr>
          <w:rFonts w:ascii="Arial" w:hAnsi="Arial"/>
          <w:sz w:val="20"/>
        </w:rPr>
        <w:tab/>
        <w:t>Each Party undertakes to keep confidential and shall not use except for the purposes of this Agreement or permitted by this Agreement:</w:t>
      </w:r>
    </w:p>
    <w:p w:rsidR="00F51C80" w:rsidRDefault="00F51C80" w:rsidP="009105E5">
      <w:pPr>
        <w:tabs>
          <w:tab w:val="left" w:pos="-1094"/>
          <w:tab w:val="left" w:pos="-720"/>
          <w:tab w:val="left" w:pos="0"/>
          <w:tab w:val="left" w:pos="540"/>
          <w:tab w:val="left" w:pos="1440"/>
        </w:tabs>
        <w:spacing w:after="120"/>
        <w:ind w:left="1980" w:hanging="900"/>
        <w:jc w:val="both"/>
        <w:rPr>
          <w:rFonts w:ascii="Arial" w:hAnsi="Arial"/>
          <w:sz w:val="20"/>
        </w:rPr>
      </w:pPr>
      <w:r>
        <w:rPr>
          <w:rFonts w:ascii="Arial" w:hAnsi="Arial"/>
          <w:sz w:val="20"/>
        </w:rPr>
        <w:t>(a)</w:t>
      </w:r>
      <w:r>
        <w:rPr>
          <w:rFonts w:ascii="Arial" w:hAnsi="Arial"/>
          <w:sz w:val="20"/>
        </w:rPr>
        <w:tab/>
        <w:t>All information concerning the project;</w:t>
      </w:r>
    </w:p>
    <w:p w:rsidR="00F51C80" w:rsidRDefault="00F51C80" w:rsidP="009105E5">
      <w:pPr>
        <w:tabs>
          <w:tab w:val="left" w:pos="-1094"/>
          <w:tab w:val="left" w:pos="-720"/>
          <w:tab w:val="left" w:pos="0"/>
          <w:tab w:val="left" w:pos="540"/>
          <w:tab w:val="left" w:pos="1440"/>
        </w:tabs>
        <w:spacing w:after="120"/>
        <w:ind w:left="1980" w:hanging="900"/>
        <w:jc w:val="both"/>
        <w:rPr>
          <w:rFonts w:ascii="Arial" w:hAnsi="Arial"/>
          <w:sz w:val="20"/>
        </w:rPr>
      </w:pPr>
      <w:r>
        <w:rPr>
          <w:rFonts w:ascii="Arial" w:hAnsi="Arial"/>
          <w:sz w:val="20"/>
        </w:rPr>
        <w:t>(b)</w:t>
      </w:r>
      <w:r>
        <w:rPr>
          <w:rFonts w:ascii="Arial" w:hAnsi="Arial"/>
          <w:sz w:val="20"/>
        </w:rPr>
        <w:tab/>
        <w:t>All information concerning the project it shall have obtained from any other Party(</w:t>
      </w:r>
      <w:proofErr w:type="spellStart"/>
      <w:r>
        <w:rPr>
          <w:rFonts w:ascii="Arial" w:hAnsi="Arial"/>
          <w:sz w:val="20"/>
        </w:rPr>
        <w:t>ies</w:t>
      </w:r>
      <w:proofErr w:type="spellEnd"/>
      <w:r>
        <w:rPr>
          <w:rFonts w:ascii="Arial" w:hAnsi="Arial"/>
          <w:sz w:val="20"/>
        </w:rPr>
        <w:t>);</w:t>
      </w:r>
    </w:p>
    <w:p w:rsidR="00F51C80" w:rsidRDefault="00F51C80" w:rsidP="009105E5">
      <w:pPr>
        <w:tabs>
          <w:tab w:val="left" w:pos="-1094"/>
          <w:tab w:val="left" w:pos="-720"/>
          <w:tab w:val="left" w:pos="0"/>
          <w:tab w:val="left" w:pos="540"/>
          <w:tab w:val="left" w:pos="1440"/>
        </w:tabs>
        <w:spacing w:after="120"/>
        <w:ind w:left="1980" w:hanging="900"/>
        <w:jc w:val="both"/>
        <w:rPr>
          <w:rFonts w:ascii="Arial" w:hAnsi="Arial"/>
          <w:sz w:val="20"/>
        </w:rPr>
      </w:pPr>
      <w:r>
        <w:rPr>
          <w:rFonts w:ascii="Arial" w:hAnsi="Arial"/>
          <w:sz w:val="20"/>
        </w:rPr>
        <w:t>(c)</w:t>
      </w:r>
      <w:r>
        <w:rPr>
          <w:rFonts w:ascii="Arial" w:hAnsi="Arial"/>
          <w:sz w:val="20"/>
        </w:rPr>
        <w:tab/>
        <w:t>All information concerning the business affairs of any other Party;</w:t>
      </w:r>
    </w:p>
    <w:p w:rsidR="00F51C80" w:rsidRDefault="00F51C80" w:rsidP="009105E5">
      <w:pPr>
        <w:tabs>
          <w:tab w:val="left" w:pos="-1094"/>
          <w:tab w:val="left" w:pos="-720"/>
          <w:tab w:val="left" w:pos="0"/>
          <w:tab w:val="left" w:pos="540"/>
          <w:tab w:val="left" w:pos="1440"/>
        </w:tabs>
        <w:spacing w:after="120"/>
        <w:ind w:left="1980" w:hanging="900"/>
        <w:jc w:val="both"/>
        <w:rPr>
          <w:rFonts w:ascii="Arial" w:hAnsi="Arial"/>
          <w:sz w:val="20"/>
        </w:rPr>
      </w:pPr>
      <w:r>
        <w:rPr>
          <w:rFonts w:ascii="Arial" w:hAnsi="Arial"/>
          <w:sz w:val="20"/>
        </w:rPr>
        <w:t>(d)</w:t>
      </w:r>
      <w:r>
        <w:rPr>
          <w:rFonts w:ascii="Arial" w:hAnsi="Arial"/>
          <w:sz w:val="20"/>
        </w:rPr>
        <w:tab/>
        <w:t>The Foreground Intellectual Property of the research and development, except as required by applicable Intellectual Property prosecution procedures.</w:t>
      </w:r>
    </w:p>
    <w:p w:rsidR="00F51C80" w:rsidRDefault="00F51C80" w:rsidP="009105E5">
      <w:pPr>
        <w:pStyle w:val="BodyTextIndent"/>
        <w:tabs>
          <w:tab w:val="clear" w:pos="990"/>
          <w:tab w:val="clear" w:pos="2160"/>
          <w:tab w:val="left" w:pos="1440"/>
        </w:tabs>
        <w:spacing w:after="120"/>
        <w:ind w:left="1080"/>
      </w:pPr>
      <w:r>
        <w:t>5.2</w:t>
      </w:r>
      <w:r>
        <w:tab/>
        <w:t>The foregoing restrictions shall not apply to information:</w:t>
      </w:r>
    </w:p>
    <w:p w:rsidR="00F51C80" w:rsidRDefault="00F51C80" w:rsidP="009105E5">
      <w:pPr>
        <w:tabs>
          <w:tab w:val="left" w:pos="-1094"/>
          <w:tab w:val="left" w:pos="-720"/>
          <w:tab w:val="left" w:pos="0"/>
          <w:tab w:val="left" w:pos="540"/>
          <w:tab w:val="left" w:pos="990"/>
          <w:tab w:val="left" w:pos="2160"/>
        </w:tabs>
        <w:spacing w:after="120"/>
        <w:ind w:left="1530" w:hanging="450"/>
        <w:jc w:val="both"/>
        <w:rPr>
          <w:rFonts w:ascii="Arial" w:hAnsi="Arial"/>
          <w:sz w:val="20"/>
        </w:rPr>
      </w:pPr>
      <w:r>
        <w:rPr>
          <w:rFonts w:ascii="Arial" w:hAnsi="Arial"/>
          <w:sz w:val="20"/>
        </w:rPr>
        <w:t>(a)</w:t>
      </w:r>
      <w:r>
        <w:rPr>
          <w:rFonts w:ascii="Arial" w:hAnsi="Arial"/>
          <w:sz w:val="20"/>
        </w:rPr>
        <w:tab/>
        <w:t>Accessible to the public at the time of disclosure, or which subsequently becomes accessible through no fault of the recipient;</w:t>
      </w:r>
    </w:p>
    <w:p w:rsidR="00F51C80" w:rsidRDefault="00F51C80" w:rsidP="009105E5">
      <w:pPr>
        <w:pStyle w:val="BodyTextIndent3"/>
        <w:ind w:left="1530"/>
      </w:pPr>
      <w:r>
        <w:t>(b)</w:t>
      </w:r>
      <w:r>
        <w:tab/>
        <w:t>In the possession of the recipient at the time of disclosure, or is received by the recipient from a third party who is not under any obligation to keep such information confidential;</w:t>
      </w:r>
    </w:p>
    <w:p w:rsidR="00F51C80" w:rsidRDefault="00F51C80" w:rsidP="009105E5">
      <w:pPr>
        <w:tabs>
          <w:tab w:val="left" w:pos="-1094"/>
          <w:tab w:val="left" w:pos="-720"/>
          <w:tab w:val="left" w:pos="0"/>
          <w:tab w:val="left" w:pos="540"/>
          <w:tab w:val="left" w:pos="990"/>
          <w:tab w:val="left" w:pos="2160"/>
        </w:tabs>
        <w:spacing w:after="120"/>
        <w:ind w:left="1530" w:hanging="450"/>
        <w:jc w:val="both"/>
        <w:rPr>
          <w:rFonts w:ascii="Arial" w:hAnsi="Arial"/>
          <w:sz w:val="20"/>
        </w:rPr>
      </w:pPr>
      <w:r>
        <w:rPr>
          <w:rFonts w:ascii="Arial" w:hAnsi="Arial"/>
          <w:sz w:val="20"/>
        </w:rPr>
        <w:t>(c)</w:t>
      </w:r>
      <w:r>
        <w:rPr>
          <w:rFonts w:ascii="Arial" w:hAnsi="Arial"/>
          <w:sz w:val="20"/>
        </w:rPr>
        <w:tab/>
        <w:t>Which must be provided to or required for disclosure by national or NATO authorities.</w:t>
      </w:r>
    </w:p>
    <w:p w:rsidR="00F51C80" w:rsidRDefault="00F51C80" w:rsidP="009105E5">
      <w:pPr>
        <w:tabs>
          <w:tab w:val="left" w:pos="-1094"/>
          <w:tab w:val="left" w:pos="-720"/>
          <w:tab w:val="left" w:pos="0"/>
          <w:tab w:val="left" w:pos="540"/>
          <w:tab w:val="left" w:pos="990"/>
          <w:tab w:val="left" w:pos="2160"/>
        </w:tabs>
        <w:ind w:left="1080" w:hanging="540"/>
        <w:jc w:val="both"/>
        <w:rPr>
          <w:rFonts w:ascii="Arial" w:hAnsi="Arial"/>
          <w:sz w:val="20"/>
        </w:rPr>
      </w:pPr>
      <w:r>
        <w:rPr>
          <w:rFonts w:ascii="Arial" w:hAnsi="Arial"/>
          <w:sz w:val="20"/>
        </w:rPr>
        <w:t>5.3</w:t>
      </w:r>
      <w:r>
        <w:rPr>
          <w:rFonts w:ascii="Arial" w:hAnsi="Arial"/>
          <w:sz w:val="20"/>
        </w:rPr>
        <w:tab/>
        <w:t>Divulgation (including publication) of Foreground Intellectual Property shall only be undertaken with the agreement of the IPR Committee.</w:t>
      </w:r>
      <w:r w:rsidR="009105E5">
        <w:rPr>
          <w:rFonts w:ascii="Arial" w:hAnsi="Arial"/>
          <w:sz w:val="20"/>
        </w:rPr>
        <w:t xml:space="preserve"> </w:t>
      </w:r>
      <w:r>
        <w:rPr>
          <w:rFonts w:ascii="Arial" w:hAnsi="Arial"/>
          <w:sz w:val="20"/>
        </w:rPr>
        <w:t>This agreement shall not be unreasonably withheld.</w:t>
      </w:r>
      <w:r w:rsidR="009105E5">
        <w:rPr>
          <w:rFonts w:ascii="Arial" w:hAnsi="Arial"/>
          <w:sz w:val="20"/>
        </w:rPr>
        <w:t xml:space="preserve"> </w:t>
      </w:r>
      <w:r>
        <w:rPr>
          <w:rFonts w:ascii="Arial" w:hAnsi="Arial"/>
          <w:sz w:val="20"/>
        </w:rPr>
        <w:t>Parties will have a period of three months to present their objection to divulgation.</w:t>
      </w:r>
      <w:r w:rsidR="009105E5">
        <w:rPr>
          <w:rFonts w:ascii="Arial" w:hAnsi="Arial"/>
          <w:sz w:val="20"/>
        </w:rPr>
        <w:t xml:space="preserve"> </w:t>
      </w:r>
      <w:r>
        <w:rPr>
          <w:rFonts w:ascii="Arial" w:hAnsi="Arial"/>
          <w:sz w:val="20"/>
        </w:rPr>
        <w:t>Thereafter, in the absence of any objection the Parties wishing to divulge may proceed.</w:t>
      </w:r>
    </w:p>
    <w:p w:rsidR="00F51C80" w:rsidRDefault="00F51C80" w:rsidP="00F51C80">
      <w:pPr>
        <w:tabs>
          <w:tab w:val="left" w:pos="-1094"/>
          <w:tab w:val="left" w:pos="-720"/>
          <w:tab w:val="left" w:pos="0"/>
          <w:tab w:val="left" w:pos="540"/>
          <w:tab w:val="left" w:pos="990"/>
          <w:tab w:val="left" w:pos="2160"/>
        </w:tabs>
        <w:spacing w:after="120"/>
        <w:jc w:val="both"/>
        <w:rPr>
          <w:rFonts w:ascii="Arial" w:hAnsi="Arial"/>
          <w:sz w:val="20"/>
        </w:rPr>
      </w:pPr>
      <w:r>
        <w:rPr>
          <w:rFonts w:ascii="Arial" w:hAnsi="Arial"/>
          <w:sz w:val="20"/>
        </w:rPr>
        <w:t>6.</w:t>
      </w:r>
      <w:r>
        <w:rPr>
          <w:rFonts w:ascii="Arial" w:hAnsi="Arial"/>
          <w:sz w:val="20"/>
        </w:rPr>
        <w:tab/>
        <w:t>BREACH OF AGREEMENT</w:t>
      </w:r>
    </w:p>
    <w:p w:rsidR="00F51C80" w:rsidRDefault="00F51C80" w:rsidP="009105E5">
      <w:pPr>
        <w:tabs>
          <w:tab w:val="left" w:pos="-1094"/>
          <w:tab w:val="left" w:pos="-720"/>
          <w:tab w:val="left" w:pos="0"/>
          <w:tab w:val="left" w:pos="540"/>
          <w:tab w:val="left" w:pos="990"/>
          <w:tab w:val="left" w:pos="2160"/>
        </w:tabs>
        <w:spacing w:after="120"/>
        <w:ind w:left="1080" w:hanging="540"/>
        <w:jc w:val="both"/>
        <w:rPr>
          <w:rFonts w:ascii="Arial" w:hAnsi="Arial"/>
          <w:sz w:val="20"/>
        </w:rPr>
      </w:pPr>
      <w:r>
        <w:rPr>
          <w:rFonts w:ascii="Arial" w:hAnsi="Arial"/>
          <w:sz w:val="20"/>
        </w:rPr>
        <w:t>6.1</w:t>
      </w:r>
      <w:r>
        <w:rPr>
          <w:rFonts w:ascii="Arial" w:hAnsi="Arial"/>
          <w:sz w:val="20"/>
        </w:rPr>
        <w:tab/>
        <w:t>If one Party breaches this Agreement and the breach is not cured within 30 days of notice of the breach from the non breaching Party(</w:t>
      </w:r>
      <w:proofErr w:type="spellStart"/>
      <w:r>
        <w:rPr>
          <w:rFonts w:ascii="Arial" w:hAnsi="Arial"/>
          <w:sz w:val="20"/>
        </w:rPr>
        <w:t>ies</w:t>
      </w:r>
      <w:proofErr w:type="spellEnd"/>
      <w:r>
        <w:rPr>
          <w:rFonts w:ascii="Arial" w:hAnsi="Arial"/>
          <w:sz w:val="20"/>
        </w:rPr>
        <w:t>), the non breaching Party(</w:t>
      </w:r>
      <w:proofErr w:type="spellStart"/>
      <w:r>
        <w:rPr>
          <w:rFonts w:ascii="Arial" w:hAnsi="Arial"/>
          <w:sz w:val="20"/>
        </w:rPr>
        <w:t>ies</w:t>
      </w:r>
      <w:proofErr w:type="spellEnd"/>
      <w:r>
        <w:rPr>
          <w:rFonts w:ascii="Arial" w:hAnsi="Arial"/>
          <w:sz w:val="20"/>
        </w:rPr>
        <w:t>) may terminate the rights of the breaching Party under this Agreement.</w:t>
      </w:r>
    </w:p>
    <w:p w:rsidR="00F51C80" w:rsidRDefault="00F51C80" w:rsidP="009105E5">
      <w:pPr>
        <w:tabs>
          <w:tab w:val="left" w:pos="-1094"/>
          <w:tab w:val="left" w:pos="-720"/>
          <w:tab w:val="left" w:pos="0"/>
          <w:tab w:val="left" w:pos="540"/>
          <w:tab w:val="left" w:pos="990"/>
          <w:tab w:val="left" w:pos="2160"/>
        </w:tabs>
        <w:spacing w:after="120"/>
        <w:ind w:left="1080" w:hanging="540"/>
        <w:jc w:val="both"/>
        <w:rPr>
          <w:rFonts w:ascii="Arial" w:hAnsi="Arial"/>
          <w:sz w:val="20"/>
        </w:rPr>
      </w:pPr>
      <w:r>
        <w:rPr>
          <w:rFonts w:ascii="Arial" w:hAnsi="Arial"/>
          <w:sz w:val="20"/>
        </w:rPr>
        <w:t>6.2</w:t>
      </w:r>
      <w:r>
        <w:rPr>
          <w:rFonts w:ascii="Arial" w:hAnsi="Arial"/>
          <w:sz w:val="20"/>
        </w:rPr>
        <w:tab/>
        <w:t>Upon termination pursuant to 6.1:</w:t>
      </w:r>
    </w:p>
    <w:p w:rsidR="00F51C80" w:rsidRDefault="00F51C80" w:rsidP="009105E5">
      <w:pPr>
        <w:tabs>
          <w:tab w:val="left" w:pos="-1094"/>
          <w:tab w:val="left" w:pos="-720"/>
          <w:tab w:val="left" w:pos="0"/>
          <w:tab w:val="left" w:pos="540"/>
          <w:tab w:val="left" w:pos="990"/>
          <w:tab w:val="left" w:pos="2160"/>
        </w:tabs>
        <w:spacing w:after="120"/>
        <w:ind w:left="1530" w:hanging="450"/>
        <w:jc w:val="both"/>
        <w:rPr>
          <w:rFonts w:ascii="Arial" w:hAnsi="Arial"/>
          <w:sz w:val="20"/>
        </w:rPr>
      </w:pPr>
      <w:r>
        <w:rPr>
          <w:rFonts w:ascii="Arial" w:hAnsi="Arial"/>
          <w:sz w:val="20"/>
        </w:rPr>
        <w:t xml:space="preserve">(a) </w:t>
      </w:r>
      <w:r>
        <w:rPr>
          <w:rFonts w:ascii="Arial" w:hAnsi="Arial"/>
          <w:sz w:val="20"/>
        </w:rPr>
        <w:tab/>
        <w:t>The non-breaching Party(</w:t>
      </w:r>
      <w:proofErr w:type="spellStart"/>
      <w:r>
        <w:rPr>
          <w:rFonts w:ascii="Arial" w:hAnsi="Arial"/>
          <w:sz w:val="20"/>
        </w:rPr>
        <w:t>ies</w:t>
      </w:r>
      <w:proofErr w:type="spellEnd"/>
      <w:r>
        <w:rPr>
          <w:rFonts w:ascii="Arial" w:hAnsi="Arial"/>
          <w:sz w:val="20"/>
        </w:rPr>
        <w:t xml:space="preserve">) shall be free to exploit the Foreground Intellectual Property; and, </w:t>
      </w:r>
    </w:p>
    <w:p w:rsidR="00F51C80" w:rsidRDefault="00F51C80" w:rsidP="009105E5">
      <w:pPr>
        <w:tabs>
          <w:tab w:val="left" w:pos="-1094"/>
          <w:tab w:val="left" w:pos="-720"/>
          <w:tab w:val="left" w:pos="0"/>
          <w:tab w:val="left" w:pos="540"/>
          <w:tab w:val="left" w:pos="990"/>
          <w:tab w:val="left" w:pos="2160"/>
        </w:tabs>
        <w:ind w:left="1530" w:hanging="450"/>
        <w:jc w:val="both"/>
        <w:rPr>
          <w:rFonts w:ascii="Arial" w:hAnsi="Arial"/>
          <w:sz w:val="20"/>
        </w:rPr>
      </w:pPr>
      <w:r>
        <w:rPr>
          <w:rFonts w:ascii="Arial" w:hAnsi="Arial"/>
          <w:sz w:val="20"/>
        </w:rPr>
        <w:t>(b)</w:t>
      </w:r>
      <w:r>
        <w:rPr>
          <w:rFonts w:ascii="Arial" w:hAnsi="Arial"/>
          <w:sz w:val="20"/>
        </w:rPr>
        <w:tab/>
        <w:t>Right(s) to exploit the Background Intellectual Property of the breaching Party will be granted by the breaching Party to the non-breaching Party(</w:t>
      </w:r>
      <w:proofErr w:type="spellStart"/>
      <w:r>
        <w:rPr>
          <w:rFonts w:ascii="Arial" w:hAnsi="Arial"/>
          <w:sz w:val="20"/>
        </w:rPr>
        <w:t>ies</w:t>
      </w:r>
      <w:proofErr w:type="spellEnd"/>
      <w:r>
        <w:rPr>
          <w:rFonts w:ascii="Arial" w:hAnsi="Arial"/>
          <w:sz w:val="20"/>
        </w:rPr>
        <w:t>) according to 2.2.1, taking into consideration prior commitments.</w:t>
      </w:r>
    </w:p>
    <w:p w:rsidR="00F51C80" w:rsidRDefault="00F51C80" w:rsidP="00F51C80">
      <w:pPr>
        <w:tabs>
          <w:tab w:val="left" w:pos="-1094"/>
          <w:tab w:val="left" w:pos="-720"/>
          <w:tab w:val="left" w:pos="0"/>
          <w:tab w:val="left" w:pos="540"/>
          <w:tab w:val="left" w:pos="990"/>
          <w:tab w:val="left" w:pos="2160"/>
        </w:tabs>
        <w:spacing w:after="120"/>
        <w:jc w:val="both"/>
        <w:rPr>
          <w:rFonts w:ascii="Arial" w:hAnsi="Arial"/>
          <w:sz w:val="20"/>
        </w:rPr>
      </w:pPr>
      <w:r>
        <w:rPr>
          <w:rFonts w:ascii="Arial" w:hAnsi="Arial"/>
          <w:sz w:val="20"/>
        </w:rPr>
        <w:t>7.</w:t>
      </w:r>
      <w:r>
        <w:rPr>
          <w:rFonts w:ascii="Arial" w:hAnsi="Arial"/>
          <w:sz w:val="20"/>
        </w:rPr>
        <w:tab/>
        <w:t>MEDIATION AND ARBITRATION</w:t>
      </w:r>
    </w:p>
    <w:p w:rsidR="00F51C80" w:rsidRDefault="00F51C80" w:rsidP="009105E5">
      <w:pPr>
        <w:pStyle w:val="BodyTextIndent"/>
        <w:spacing w:after="120"/>
        <w:ind w:left="1080"/>
      </w:pPr>
      <w:r>
        <w:t>7.1.</w:t>
      </w:r>
      <w:r>
        <w:tab/>
        <w:t>Any of the Parties may initiate a mediation to assist them in resolving any issue arising from this Agreement which has not been resolved by the IPR Committee; this mediation shall be done by a mediator nominated by the NATO SPS Projects Office.</w:t>
      </w:r>
    </w:p>
    <w:p w:rsidR="00F51C80" w:rsidRDefault="00F51C80" w:rsidP="009105E5">
      <w:pPr>
        <w:tabs>
          <w:tab w:val="left" w:pos="-1094"/>
          <w:tab w:val="left" w:pos="-720"/>
          <w:tab w:val="left" w:pos="0"/>
          <w:tab w:val="left" w:pos="540"/>
          <w:tab w:val="left" w:pos="990"/>
          <w:tab w:val="left" w:pos="2160"/>
        </w:tabs>
        <w:spacing w:after="120"/>
        <w:ind w:left="1080" w:hanging="540"/>
        <w:jc w:val="both"/>
        <w:rPr>
          <w:rFonts w:ascii="Arial" w:hAnsi="Arial"/>
          <w:sz w:val="20"/>
        </w:rPr>
      </w:pPr>
      <w:r>
        <w:rPr>
          <w:rFonts w:ascii="Arial" w:hAnsi="Arial"/>
          <w:sz w:val="20"/>
        </w:rPr>
        <w:t>7.2.</w:t>
      </w:r>
      <w:r>
        <w:rPr>
          <w:rFonts w:ascii="Arial" w:hAnsi="Arial"/>
          <w:sz w:val="20"/>
        </w:rPr>
        <w:tab/>
        <w:t>If the mediation is not successful in resolving the issue, any Party may initiate an arbitration procedure as follows:</w:t>
      </w:r>
    </w:p>
    <w:p w:rsidR="00F51C80" w:rsidRDefault="00F51C80" w:rsidP="009105E5">
      <w:pPr>
        <w:tabs>
          <w:tab w:val="left" w:pos="-1094"/>
          <w:tab w:val="left" w:pos="-720"/>
          <w:tab w:val="left" w:pos="0"/>
          <w:tab w:val="left" w:pos="540"/>
          <w:tab w:val="left" w:pos="990"/>
          <w:tab w:val="left" w:pos="2160"/>
        </w:tabs>
        <w:spacing w:after="120"/>
        <w:ind w:left="1080"/>
        <w:jc w:val="both"/>
        <w:rPr>
          <w:rFonts w:ascii="Arial" w:hAnsi="Arial"/>
          <w:sz w:val="20"/>
        </w:rPr>
      </w:pPr>
      <w:r>
        <w:rPr>
          <w:rFonts w:ascii="Arial" w:hAnsi="Arial"/>
          <w:i/>
          <w:sz w:val="20"/>
        </w:rPr>
        <w:t>(WIPO, ICC, or other arbitration procedures to be agreed and detailed by the Parties)</w:t>
      </w:r>
    </w:p>
    <w:p w:rsidR="00F51C80" w:rsidRDefault="00F51C80" w:rsidP="009105E5">
      <w:pPr>
        <w:tabs>
          <w:tab w:val="left" w:pos="-1094"/>
          <w:tab w:val="left" w:pos="-720"/>
          <w:tab w:val="left" w:pos="0"/>
          <w:tab w:val="left" w:pos="540"/>
          <w:tab w:val="left" w:pos="990"/>
          <w:tab w:val="left" w:pos="2160"/>
        </w:tabs>
        <w:ind w:left="1080" w:hanging="540"/>
        <w:jc w:val="both"/>
        <w:rPr>
          <w:rFonts w:ascii="Arial" w:hAnsi="Arial"/>
          <w:sz w:val="20"/>
        </w:rPr>
      </w:pPr>
      <w:r>
        <w:rPr>
          <w:rFonts w:ascii="Arial" w:hAnsi="Arial"/>
          <w:sz w:val="20"/>
        </w:rPr>
        <w:t>7.3.</w:t>
      </w:r>
      <w:r>
        <w:rPr>
          <w:rFonts w:ascii="Arial" w:hAnsi="Arial"/>
          <w:sz w:val="20"/>
        </w:rPr>
        <w:tab/>
        <w:t>The decision resulting from the arbitration procedure shall be binding upon the Parties.</w:t>
      </w:r>
    </w:p>
    <w:p w:rsidR="00F51C80" w:rsidRDefault="00F51C80" w:rsidP="00F51C80">
      <w:pPr>
        <w:tabs>
          <w:tab w:val="left" w:pos="-1094"/>
          <w:tab w:val="left" w:pos="-720"/>
          <w:tab w:val="left" w:pos="0"/>
          <w:tab w:val="left" w:pos="540"/>
          <w:tab w:val="left" w:pos="990"/>
          <w:tab w:val="left" w:pos="2160"/>
        </w:tabs>
        <w:spacing w:after="120"/>
        <w:jc w:val="both"/>
        <w:rPr>
          <w:rFonts w:ascii="Arial" w:hAnsi="Arial"/>
          <w:sz w:val="20"/>
        </w:rPr>
      </w:pPr>
      <w:r>
        <w:rPr>
          <w:rFonts w:ascii="Arial" w:hAnsi="Arial"/>
          <w:sz w:val="20"/>
        </w:rPr>
        <w:t>8.</w:t>
      </w:r>
      <w:r>
        <w:rPr>
          <w:rFonts w:ascii="Arial" w:hAnsi="Arial"/>
          <w:sz w:val="20"/>
        </w:rPr>
        <w:tab/>
        <w:t>LAW</w:t>
      </w:r>
    </w:p>
    <w:p w:rsidR="00F51C80" w:rsidRDefault="00F51C80" w:rsidP="00A4009A">
      <w:pPr>
        <w:pStyle w:val="BodyTextIndent2"/>
        <w:tabs>
          <w:tab w:val="clear" w:pos="1440"/>
          <w:tab w:val="left" w:pos="990"/>
          <w:tab w:val="left" w:pos="2160"/>
        </w:tabs>
        <w:ind w:left="539"/>
      </w:pPr>
      <w:r>
        <w:t>This Agreement shall be governed by the laws of ___ (only one country possible!).</w:t>
      </w:r>
    </w:p>
    <w:p w:rsidR="00F51C80" w:rsidRDefault="00F51C80" w:rsidP="00F51C80">
      <w:pPr>
        <w:tabs>
          <w:tab w:val="left" w:pos="-1094"/>
          <w:tab w:val="left" w:pos="-720"/>
          <w:tab w:val="left" w:pos="0"/>
          <w:tab w:val="left" w:pos="540"/>
          <w:tab w:val="left" w:pos="990"/>
          <w:tab w:val="left" w:pos="2160"/>
        </w:tabs>
        <w:spacing w:after="120"/>
        <w:jc w:val="both"/>
        <w:rPr>
          <w:rFonts w:ascii="Arial" w:hAnsi="Arial"/>
          <w:sz w:val="20"/>
        </w:rPr>
      </w:pPr>
      <w:r>
        <w:rPr>
          <w:rFonts w:ascii="Arial" w:hAnsi="Arial"/>
          <w:sz w:val="20"/>
        </w:rPr>
        <w:t>9.</w:t>
      </w:r>
      <w:r>
        <w:rPr>
          <w:rFonts w:ascii="Arial" w:hAnsi="Arial"/>
          <w:sz w:val="20"/>
        </w:rPr>
        <w:tab/>
        <w:t>IPR COMMITTEE</w:t>
      </w:r>
    </w:p>
    <w:p w:rsidR="00F51C80" w:rsidRDefault="00F51C80" w:rsidP="009105E5">
      <w:pPr>
        <w:tabs>
          <w:tab w:val="left" w:pos="-1094"/>
          <w:tab w:val="left" w:pos="-720"/>
          <w:tab w:val="left" w:pos="0"/>
          <w:tab w:val="left" w:pos="540"/>
          <w:tab w:val="left" w:pos="990"/>
          <w:tab w:val="left" w:pos="2160"/>
        </w:tabs>
        <w:spacing w:after="120"/>
        <w:ind w:left="1080" w:hanging="540"/>
        <w:jc w:val="both"/>
        <w:rPr>
          <w:rFonts w:ascii="Arial" w:hAnsi="Arial"/>
          <w:sz w:val="20"/>
        </w:rPr>
      </w:pPr>
      <w:r>
        <w:rPr>
          <w:rFonts w:ascii="Arial" w:hAnsi="Arial"/>
          <w:sz w:val="20"/>
        </w:rPr>
        <w:t>9.1</w:t>
      </w:r>
      <w:r>
        <w:rPr>
          <w:rFonts w:ascii="Arial" w:hAnsi="Arial"/>
          <w:sz w:val="20"/>
        </w:rPr>
        <w:tab/>
        <w:t>All decisions of the IPR Committee shall be unanimous.</w:t>
      </w:r>
      <w:r w:rsidR="009105E5">
        <w:rPr>
          <w:rFonts w:ascii="Arial" w:hAnsi="Arial"/>
          <w:sz w:val="20"/>
        </w:rPr>
        <w:t xml:space="preserve"> </w:t>
      </w:r>
      <w:r>
        <w:rPr>
          <w:rFonts w:ascii="Arial" w:hAnsi="Arial"/>
          <w:sz w:val="20"/>
        </w:rPr>
        <w:t>In case of non-unanimity, the mediation procedure of Article 7.1 may be initiated by any of the Parties.</w:t>
      </w:r>
    </w:p>
    <w:p w:rsidR="00F51C80" w:rsidRDefault="00F51C80" w:rsidP="009105E5">
      <w:pPr>
        <w:tabs>
          <w:tab w:val="left" w:pos="-1094"/>
          <w:tab w:val="left" w:pos="-720"/>
          <w:tab w:val="left" w:pos="0"/>
          <w:tab w:val="left" w:pos="540"/>
          <w:tab w:val="left" w:pos="990"/>
          <w:tab w:val="left" w:pos="2160"/>
        </w:tabs>
        <w:spacing w:after="120"/>
        <w:ind w:left="1080" w:hanging="540"/>
        <w:jc w:val="both"/>
        <w:rPr>
          <w:rFonts w:ascii="Arial" w:hAnsi="Arial"/>
          <w:sz w:val="20"/>
        </w:rPr>
      </w:pPr>
      <w:r>
        <w:rPr>
          <w:rFonts w:ascii="Arial" w:hAnsi="Arial"/>
          <w:sz w:val="20"/>
        </w:rPr>
        <w:t>9.2</w:t>
      </w:r>
      <w:r>
        <w:rPr>
          <w:rFonts w:ascii="Arial" w:hAnsi="Arial"/>
          <w:sz w:val="20"/>
        </w:rPr>
        <w:tab/>
        <w:t>The IPR Committee has the competence to decide upon the strategy regarding the protection of Foreground Intellectual Property, including:</w:t>
      </w:r>
    </w:p>
    <w:p w:rsidR="00F51C80" w:rsidRDefault="00F51C80" w:rsidP="009105E5">
      <w:pPr>
        <w:tabs>
          <w:tab w:val="left" w:pos="-1094"/>
          <w:tab w:val="left" w:pos="-720"/>
          <w:tab w:val="left" w:pos="0"/>
          <w:tab w:val="left" w:pos="540"/>
          <w:tab w:val="left" w:pos="990"/>
          <w:tab w:val="left" w:pos="2160"/>
        </w:tabs>
        <w:spacing w:after="120"/>
        <w:ind w:left="1530" w:hanging="450"/>
        <w:jc w:val="both"/>
        <w:rPr>
          <w:rFonts w:ascii="Arial" w:hAnsi="Arial"/>
          <w:sz w:val="20"/>
        </w:rPr>
      </w:pPr>
      <w:r>
        <w:rPr>
          <w:rFonts w:ascii="Arial" w:hAnsi="Arial"/>
          <w:sz w:val="20"/>
        </w:rPr>
        <w:t>(a)</w:t>
      </w:r>
      <w:r>
        <w:rPr>
          <w:rFonts w:ascii="Arial" w:hAnsi="Arial"/>
          <w:sz w:val="20"/>
        </w:rPr>
        <w:tab/>
        <w:t>Decisions upon the divulgation (including publication) of any information resulting from the project;</w:t>
      </w:r>
    </w:p>
    <w:p w:rsidR="00F51C80" w:rsidRDefault="00F51C80" w:rsidP="009105E5">
      <w:pPr>
        <w:tabs>
          <w:tab w:val="left" w:pos="-1094"/>
          <w:tab w:val="left" w:pos="-720"/>
          <w:tab w:val="left" w:pos="0"/>
          <w:tab w:val="left" w:pos="540"/>
          <w:tab w:val="left" w:pos="990"/>
          <w:tab w:val="left" w:pos="2160"/>
        </w:tabs>
        <w:spacing w:after="120"/>
        <w:ind w:left="1530" w:hanging="450"/>
        <w:jc w:val="both"/>
        <w:rPr>
          <w:rFonts w:ascii="Arial" w:hAnsi="Arial"/>
          <w:sz w:val="20"/>
        </w:rPr>
      </w:pPr>
      <w:r>
        <w:rPr>
          <w:rFonts w:ascii="Arial" w:hAnsi="Arial"/>
          <w:sz w:val="20"/>
        </w:rPr>
        <w:t>(b)</w:t>
      </w:r>
      <w:r>
        <w:rPr>
          <w:rFonts w:ascii="Arial" w:hAnsi="Arial"/>
          <w:sz w:val="20"/>
        </w:rPr>
        <w:tab/>
        <w:t>Decisions upon actions to be taken, including settlements, in the event of infringement of the Foreground Intellectual Property;</w:t>
      </w:r>
    </w:p>
    <w:p w:rsidR="00F51C80" w:rsidRDefault="00F51C80" w:rsidP="009105E5">
      <w:pPr>
        <w:tabs>
          <w:tab w:val="left" w:pos="-1094"/>
          <w:tab w:val="left" w:pos="-720"/>
          <w:tab w:val="left" w:pos="0"/>
          <w:tab w:val="left" w:pos="540"/>
          <w:tab w:val="left" w:pos="990"/>
          <w:tab w:val="left" w:pos="2160"/>
        </w:tabs>
        <w:spacing w:after="120"/>
        <w:ind w:left="1530" w:hanging="450"/>
        <w:jc w:val="both"/>
        <w:rPr>
          <w:rFonts w:ascii="Arial" w:hAnsi="Arial"/>
          <w:sz w:val="20"/>
        </w:rPr>
      </w:pPr>
      <w:r>
        <w:rPr>
          <w:rFonts w:ascii="Arial" w:hAnsi="Arial"/>
          <w:sz w:val="20"/>
        </w:rPr>
        <w:t>(c)</w:t>
      </w:r>
      <w:r>
        <w:rPr>
          <w:rFonts w:ascii="Arial" w:hAnsi="Arial"/>
          <w:sz w:val="20"/>
        </w:rPr>
        <w:tab/>
        <w:t>Decisions upon actions to be taken, including settlements, in the event of infringement of third party rights;</w:t>
      </w:r>
    </w:p>
    <w:p w:rsidR="00F51C80" w:rsidRDefault="00F51C80" w:rsidP="009105E5">
      <w:pPr>
        <w:tabs>
          <w:tab w:val="left" w:pos="-1094"/>
          <w:tab w:val="left" w:pos="-720"/>
          <w:tab w:val="left" w:pos="0"/>
          <w:tab w:val="left" w:pos="540"/>
          <w:tab w:val="left" w:pos="990"/>
          <w:tab w:val="left" w:pos="2160"/>
        </w:tabs>
        <w:spacing w:after="120"/>
        <w:ind w:left="1530" w:hanging="450"/>
        <w:jc w:val="both"/>
        <w:rPr>
          <w:rFonts w:ascii="Arial" w:hAnsi="Arial"/>
          <w:sz w:val="20"/>
        </w:rPr>
      </w:pPr>
      <w:r>
        <w:rPr>
          <w:rFonts w:ascii="Arial" w:hAnsi="Arial"/>
          <w:sz w:val="20"/>
        </w:rPr>
        <w:t>(d)</w:t>
      </w:r>
      <w:r>
        <w:rPr>
          <w:rFonts w:ascii="Arial" w:hAnsi="Arial"/>
          <w:sz w:val="20"/>
        </w:rPr>
        <w:tab/>
        <w:t>Monitoring and decisions with respect to all Intellectual Property aspects of the project.</w:t>
      </w:r>
    </w:p>
    <w:p w:rsidR="00F51C80" w:rsidRDefault="00F51C80" w:rsidP="009105E5">
      <w:pPr>
        <w:tabs>
          <w:tab w:val="left" w:pos="-1094"/>
          <w:tab w:val="left" w:pos="-720"/>
          <w:tab w:val="left" w:pos="0"/>
          <w:tab w:val="left" w:pos="540"/>
          <w:tab w:val="left" w:pos="990"/>
          <w:tab w:val="left" w:pos="2160"/>
        </w:tabs>
        <w:spacing w:after="120"/>
        <w:ind w:left="1080" w:hanging="540"/>
        <w:jc w:val="both"/>
        <w:rPr>
          <w:rFonts w:ascii="Arial" w:hAnsi="Arial"/>
          <w:sz w:val="20"/>
        </w:rPr>
      </w:pPr>
      <w:r>
        <w:rPr>
          <w:rFonts w:ascii="Arial" w:hAnsi="Arial"/>
          <w:sz w:val="20"/>
        </w:rPr>
        <w:t xml:space="preserve">9.3 </w:t>
      </w:r>
      <w:r>
        <w:rPr>
          <w:rFonts w:ascii="Arial" w:hAnsi="Arial"/>
          <w:sz w:val="20"/>
        </w:rPr>
        <w:tab/>
        <w:t>The IPR Committee shall report on Intellectual Property issues to the NATO SPS Projects Office every six months.</w:t>
      </w:r>
    </w:p>
    <w:p w:rsidR="00F51C80" w:rsidRDefault="00F51C80" w:rsidP="009105E5">
      <w:pPr>
        <w:tabs>
          <w:tab w:val="left" w:pos="-1094"/>
          <w:tab w:val="left" w:pos="-720"/>
          <w:tab w:val="left" w:pos="0"/>
          <w:tab w:val="left" w:pos="540"/>
          <w:tab w:val="left" w:pos="990"/>
          <w:tab w:val="left" w:pos="2160"/>
        </w:tabs>
        <w:ind w:left="1080" w:hanging="540"/>
        <w:jc w:val="both"/>
        <w:rPr>
          <w:rFonts w:ascii="Arial" w:hAnsi="Arial"/>
          <w:sz w:val="20"/>
        </w:rPr>
      </w:pPr>
      <w:r>
        <w:rPr>
          <w:rFonts w:ascii="Arial" w:hAnsi="Arial"/>
          <w:sz w:val="20"/>
        </w:rPr>
        <w:t>9.4.</w:t>
      </w:r>
      <w:r>
        <w:rPr>
          <w:rFonts w:ascii="Arial" w:hAnsi="Arial"/>
          <w:sz w:val="20"/>
        </w:rPr>
        <w:tab/>
        <w:t>The IPR Committee shall remain in existence for a period of 5 years after the Project Completion Date.</w:t>
      </w:r>
    </w:p>
    <w:p w:rsidR="00F51C80" w:rsidRDefault="00F51C80" w:rsidP="00F51C80">
      <w:pPr>
        <w:tabs>
          <w:tab w:val="left" w:pos="-1094"/>
          <w:tab w:val="left" w:pos="-720"/>
          <w:tab w:val="left" w:pos="0"/>
          <w:tab w:val="left" w:pos="540"/>
          <w:tab w:val="left" w:pos="990"/>
          <w:tab w:val="left" w:pos="2160"/>
        </w:tabs>
        <w:spacing w:after="120"/>
        <w:jc w:val="both"/>
        <w:rPr>
          <w:rFonts w:ascii="Arial" w:hAnsi="Arial"/>
          <w:sz w:val="20"/>
        </w:rPr>
      </w:pPr>
      <w:r>
        <w:rPr>
          <w:rFonts w:ascii="Arial" w:hAnsi="Arial"/>
          <w:sz w:val="20"/>
        </w:rPr>
        <w:t>10.</w:t>
      </w:r>
      <w:r>
        <w:rPr>
          <w:rFonts w:ascii="Arial" w:hAnsi="Arial"/>
          <w:sz w:val="20"/>
        </w:rPr>
        <w:tab/>
        <w:t>GENERAL</w:t>
      </w:r>
    </w:p>
    <w:p w:rsidR="00F51C80" w:rsidRDefault="00F51C80" w:rsidP="009105E5">
      <w:pPr>
        <w:pStyle w:val="BodyTextIndent"/>
        <w:spacing w:after="120"/>
        <w:ind w:left="1080"/>
      </w:pPr>
      <w:r>
        <w:t>10.1</w:t>
      </w:r>
      <w:r>
        <w:tab/>
        <w:t>Each Party undertakes to the others to take all steps that are necessary to ensure compliance with the provisions of this Agreement by its employees, agents and researchers.</w:t>
      </w:r>
    </w:p>
    <w:p w:rsidR="00F51C80" w:rsidRDefault="00F51C80" w:rsidP="009105E5">
      <w:pPr>
        <w:pStyle w:val="BodyTextIndent"/>
        <w:spacing w:after="120"/>
        <w:ind w:left="1080"/>
      </w:pPr>
      <w:r>
        <w:t>10.2</w:t>
      </w:r>
      <w:r>
        <w:tab/>
        <w:t>The terms of Article 2, Article 3, Article 5</w:t>
      </w:r>
      <w:r w:rsidR="009105E5">
        <w:t xml:space="preserve"> </w:t>
      </w:r>
      <w:r>
        <w:t>and Article 9 will survive after the Project Completion Date or the withdrawal of any Party(</w:t>
      </w:r>
      <w:proofErr w:type="spellStart"/>
      <w:r>
        <w:t>ies</w:t>
      </w:r>
      <w:proofErr w:type="spellEnd"/>
      <w:r>
        <w:t>), except upon agreement by all Parties.</w:t>
      </w:r>
    </w:p>
    <w:p w:rsidR="00F51C80" w:rsidRDefault="00F51C80" w:rsidP="009105E5">
      <w:pPr>
        <w:widowControl w:val="0"/>
        <w:numPr>
          <w:ilvl w:val="1"/>
          <w:numId w:val="23"/>
        </w:numPr>
        <w:tabs>
          <w:tab w:val="clear" w:pos="540"/>
          <w:tab w:val="left" w:pos="-1094"/>
          <w:tab w:val="left" w:pos="-720"/>
          <w:tab w:val="left" w:pos="0"/>
          <w:tab w:val="left" w:pos="990"/>
          <w:tab w:val="num" w:pos="1080"/>
          <w:tab w:val="left" w:pos="2160"/>
        </w:tabs>
        <w:ind w:left="1080"/>
        <w:jc w:val="both"/>
        <w:rPr>
          <w:rFonts w:ascii="Arial" w:hAnsi="Arial"/>
          <w:sz w:val="20"/>
        </w:rPr>
      </w:pPr>
      <w:r>
        <w:rPr>
          <w:rFonts w:ascii="Arial" w:hAnsi="Arial"/>
          <w:sz w:val="20"/>
        </w:rPr>
        <w:t>The notices referred to in this Agreement shall be considered to be effective only if communicated in writing by registered mail, or an equivalent system.</w:t>
      </w:r>
    </w:p>
    <w:p w:rsidR="00F51C80" w:rsidRDefault="00F51C80" w:rsidP="009105E5">
      <w:pPr>
        <w:pStyle w:val="BodyText"/>
        <w:spacing w:before="120" w:after="120"/>
      </w:pPr>
      <w:r>
        <w:t>Signatures (with date) of the NPD, the PPD and all other Project-Co-Directors as well as the head of their institutions (or the person responsible for IPR matters) and the end-user(s) involved in the project.</w:t>
      </w:r>
    </w:p>
    <w:p w:rsidR="00F51C80" w:rsidRDefault="00F51C80" w:rsidP="00F51C80">
      <w:pPr>
        <w:tabs>
          <w:tab w:val="left" w:pos="-1094"/>
          <w:tab w:val="left" w:pos="-720"/>
          <w:tab w:val="left" w:pos="0"/>
          <w:tab w:val="left" w:pos="540"/>
          <w:tab w:val="left" w:pos="990"/>
          <w:tab w:val="left" w:pos="2160"/>
        </w:tabs>
        <w:spacing w:after="120"/>
        <w:jc w:val="both"/>
        <w:rPr>
          <w:rFonts w:ascii="Arial" w:hAnsi="Arial"/>
          <w:sz w:val="20"/>
        </w:rPr>
      </w:pPr>
      <w:r>
        <w:rPr>
          <w:rFonts w:ascii="Arial" w:hAnsi="Arial"/>
          <w:sz w:val="20"/>
        </w:rPr>
        <w:t>Name and position:</w:t>
      </w:r>
      <w:r>
        <w:rPr>
          <w:rFonts w:ascii="Arial" w:hAnsi="Arial"/>
          <w:sz w:val="20"/>
        </w:rPr>
        <w:tab/>
      </w:r>
      <w:r>
        <w:rPr>
          <w:rFonts w:ascii="Arial" w:hAnsi="Arial"/>
          <w:sz w:val="20"/>
        </w:rPr>
        <w:tab/>
      </w:r>
      <w:r>
        <w:rPr>
          <w:rFonts w:ascii="Arial" w:hAnsi="Arial"/>
          <w:sz w:val="20"/>
        </w:rPr>
        <w:tab/>
      </w:r>
      <w:r>
        <w:rPr>
          <w:rFonts w:ascii="Arial" w:hAnsi="Arial"/>
          <w:sz w:val="20"/>
        </w:rPr>
        <w:tab/>
        <w:t>Signature:</w:t>
      </w:r>
      <w:r>
        <w:rPr>
          <w:rFonts w:ascii="Arial" w:hAnsi="Arial"/>
          <w:sz w:val="20"/>
        </w:rPr>
        <w:tab/>
      </w:r>
      <w:r>
        <w:rPr>
          <w:rFonts w:ascii="Arial" w:hAnsi="Arial"/>
          <w:sz w:val="20"/>
        </w:rPr>
        <w:tab/>
      </w:r>
      <w:r>
        <w:rPr>
          <w:rFonts w:ascii="Arial" w:hAnsi="Arial"/>
          <w:sz w:val="20"/>
        </w:rPr>
        <w:tab/>
      </w:r>
      <w:r>
        <w:rPr>
          <w:rFonts w:ascii="Arial" w:hAnsi="Arial"/>
          <w:sz w:val="20"/>
        </w:rPr>
        <w:tab/>
        <w:t>date:</w:t>
      </w:r>
    </w:p>
    <w:p w:rsidR="00F51C80" w:rsidRDefault="00F51C80" w:rsidP="00F51C80">
      <w:pPr>
        <w:tabs>
          <w:tab w:val="left" w:pos="-1094"/>
          <w:tab w:val="left" w:pos="-720"/>
          <w:tab w:val="left" w:pos="0"/>
          <w:tab w:val="left" w:pos="540"/>
          <w:tab w:val="left" w:pos="990"/>
          <w:tab w:val="left" w:pos="2160"/>
        </w:tabs>
        <w:spacing w:after="120"/>
        <w:jc w:val="both"/>
        <w:rPr>
          <w:rFonts w:ascii="Arial" w:hAnsi="Arial"/>
          <w:sz w:val="20"/>
        </w:rPr>
      </w:pPr>
      <w:r>
        <w:rPr>
          <w:rFonts w:ascii="Arial" w:hAnsi="Arial"/>
          <w:sz w:val="20"/>
        </w:rPr>
        <w:t>NPD</w:t>
      </w:r>
    </w:p>
    <w:p w:rsidR="00F51C80" w:rsidRDefault="00F51C80" w:rsidP="00F51C80">
      <w:pPr>
        <w:tabs>
          <w:tab w:val="left" w:pos="-1094"/>
          <w:tab w:val="left" w:pos="-720"/>
          <w:tab w:val="left" w:pos="0"/>
          <w:tab w:val="left" w:pos="540"/>
          <w:tab w:val="left" w:pos="990"/>
          <w:tab w:val="left" w:pos="2160"/>
        </w:tabs>
        <w:spacing w:after="120"/>
        <w:jc w:val="both"/>
        <w:rPr>
          <w:rFonts w:ascii="Arial" w:hAnsi="Arial"/>
          <w:sz w:val="20"/>
        </w:rPr>
      </w:pPr>
      <w:r>
        <w:rPr>
          <w:rFonts w:ascii="Arial" w:hAnsi="Arial"/>
          <w:sz w:val="20"/>
        </w:rPr>
        <w:t>Head of institution</w:t>
      </w:r>
    </w:p>
    <w:p w:rsidR="00F51C80" w:rsidRDefault="00F51C80" w:rsidP="00F51C80">
      <w:pPr>
        <w:tabs>
          <w:tab w:val="left" w:pos="-1094"/>
          <w:tab w:val="left" w:pos="-720"/>
          <w:tab w:val="left" w:pos="0"/>
          <w:tab w:val="left" w:pos="540"/>
          <w:tab w:val="left" w:pos="990"/>
          <w:tab w:val="left" w:pos="2160"/>
        </w:tabs>
        <w:spacing w:after="120"/>
        <w:jc w:val="both"/>
        <w:rPr>
          <w:rFonts w:ascii="Arial" w:hAnsi="Arial"/>
          <w:sz w:val="20"/>
        </w:rPr>
      </w:pPr>
      <w:r>
        <w:rPr>
          <w:rFonts w:ascii="Arial" w:hAnsi="Arial"/>
          <w:sz w:val="20"/>
        </w:rPr>
        <w:t>PPD</w:t>
      </w:r>
    </w:p>
    <w:p w:rsidR="00F51C80" w:rsidRDefault="00F51C80" w:rsidP="00F51C80">
      <w:pPr>
        <w:tabs>
          <w:tab w:val="left" w:pos="-1094"/>
          <w:tab w:val="left" w:pos="-720"/>
          <w:tab w:val="left" w:pos="0"/>
          <w:tab w:val="left" w:pos="540"/>
          <w:tab w:val="left" w:pos="990"/>
          <w:tab w:val="left" w:pos="2160"/>
        </w:tabs>
        <w:spacing w:after="120"/>
        <w:jc w:val="both"/>
        <w:rPr>
          <w:rFonts w:ascii="Arial" w:hAnsi="Arial"/>
          <w:sz w:val="20"/>
        </w:rPr>
      </w:pPr>
      <w:r>
        <w:rPr>
          <w:rFonts w:ascii="Arial" w:hAnsi="Arial"/>
          <w:sz w:val="20"/>
        </w:rPr>
        <w:t>Head of institution</w:t>
      </w:r>
    </w:p>
    <w:p w:rsidR="00F51C80" w:rsidRDefault="00F51C80" w:rsidP="00F51C80">
      <w:pPr>
        <w:tabs>
          <w:tab w:val="left" w:pos="-1094"/>
          <w:tab w:val="left" w:pos="-720"/>
          <w:tab w:val="left" w:pos="0"/>
          <w:tab w:val="left" w:pos="540"/>
          <w:tab w:val="left" w:pos="990"/>
          <w:tab w:val="left" w:pos="2160"/>
        </w:tabs>
        <w:spacing w:after="120"/>
        <w:jc w:val="both"/>
        <w:rPr>
          <w:rFonts w:ascii="Arial" w:hAnsi="Arial"/>
          <w:sz w:val="20"/>
        </w:rPr>
      </w:pPr>
      <w:r>
        <w:rPr>
          <w:rFonts w:ascii="Arial" w:hAnsi="Arial"/>
          <w:sz w:val="20"/>
        </w:rPr>
        <w:t>Other Co-Directors</w:t>
      </w:r>
    </w:p>
    <w:p w:rsidR="00F51C80" w:rsidRDefault="00F51C80" w:rsidP="00F51C80">
      <w:pPr>
        <w:tabs>
          <w:tab w:val="left" w:pos="-1094"/>
          <w:tab w:val="left" w:pos="-720"/>
          <w:tab w:val="left" w:pos="0"/>
          <w:tab w:val="left" w:pos="540"/>
          <w:tab w:val="left" w:pos="990"/>
          <w:tab w:val="left" w:pos="2160"/>
        </w:tabs>
        <w:jc w:val="both"/>
        <w:rPr>
          <w:rFonts w:ascii="Arial" w:hAnsi="Arial"/>
          <w:sz w:val="20"/>
        </w:rPr>
      </w:pPr>
      <w:r>
        <w:rPr>
          <w:rFonts w:ascii="Arial" w:hAnsi="Arial"/>
          <w:sz w:val="20"/>
        </w:rPr>
        <w:t>And the heads of their institutions</w:t>
      </w:r>
    </w:p>
    <w:p w:rsidR="00F51C80" w:rsidRDefault="00F51C80" w:rsidP="00F51C80">
      <w:pPr>
        <w:tabs>
          <w:tab w:val="left" w:pos="-1094"/>
          <w:tab w:val="left" w:pos="-720"/>
          <w:tab w:val="left" w:pos="0"/>
          <w:tab w:val="left" w:pos="540"/>
          <w:tab w:val="left" w:pos="990"/>
          <w:tab w:val="left" w:pos="2160"/>
        </w:tabs>
        <w:jc w:val="both"/>
        <w:rPr>
          <w:rFonts w:ascii="Arial" w:hAnsi="Arial"/>
          <w:b/>
          <w:sz w:val="20"/>
        </w:rPr>
      </w:pPr>
    </w:p>
    <w:p w:rsidR="00F51C80" w:rsidRDefault="00F51C80" w:rsidP="00F51C80">
      <w:pPr>
        <w:tabs>
          <w:tab w:val="left" w:pos="-1094"/>
          <w:tab w:val="left" w:pos="-720"/>
          <w:tab w:val="left" w:pos="0"/>
          <w:tab w:val="left" w:pos="540"/>
          <w:tab w:val="left" w:pos="990"/>
          <w:tab w:val="left" w:pos="2160"/>
        </w:tabs>
        <w:jc w:val="both"/>
        <w:rPr>
          <w:rFonts w:ascii="Arial" w:hAnsi="Arial"/>
          <w:b/>
          <w:sz w:val="20"/>
        </w:rPr>
      </w:pPr>
    </w:p>
    <w:p w:rsidR="00F51C80" w:rsidRDefault="00F51C80" w:rsidP="00F51C80">
      <w:pPr>
        <w:tabs>
          <w:tab w:val="left" w:pos="-1094"/>
          <w:tab w:val="left" w:pos="-720"/>
          <w:tab w:val="left" w:pos="0"/>
          <w:tab w:val="left" w:pos="540"/>
          <w:tab w:val="left" w:pos="990"/>
          <w:tab w:val="left" w:pos="2160"/>
        </w:tabs>
        <w:jc w:val="both"/>
        <w:rPr>
          <w:rFonts w:ascii="Arial" w:hAnsi="Arial"/>
          <w:b/>
          <w:sz w:val="20"/>
        </w:rPr>
      </w:pPr>
    </w:p>
    <w:p w:rsidR="00F51C80" w:rsidRDefault="00F51C80" w:rsidP="00F51C80">
      <w:pPr>
        <w:tabs>
          <w:tab w:val="left" w:pos="-1094"/>
          <w:tab w:val="left" w:pos="-720"/>
          <w:tab w:val="left" w:pos="0"/>
          <w:tab w:val="left" w:pos="540"/>
          <w:tab w:val="left" w:pos="990"/>
          <w:tab w:val="left" w:pos="2160"/>
        </w:tabs>
        <w:jc w:val="both"/>
        <w:rPr>
          <w:rFonts w:ascii="Arial" w:hAnsi="Arial"/>
          <w:b/>
          <w:sz w:val="20"/>
        </w:rPr>
      </w:pPr>
    </w:p>
    <w:p w:rsidR="00F51C80" w:rsidRDefault="00F51C80" w:rsidP="00F51C80">
      <w:pPr>
        <w:pStyle w:val="BodyText"/>
        <w:spacing w:after="120"/>
      </w:pPr>
      <w:r>
        <w:t>End-user 1 (Director)</w:t>
      </w:r>
    </w:p>
    <w:p w:rsidR="00F51C80" w:rsidRDefault="00F51C80" w:rsidP="00F51C80">
      <w:pPr>
        <w:pStyle w:val="BodyText"/>
      </w:pPr>
      <w:r>
        <w:t>End-user 2 (Director)</w:t>
      </w:r>
    </w:p>
    <w:p w:rsidR="00C36AB4" w:rsidRDefault="00C36AB4">
      <w:bookmarkStart w:id="50" w:name="Annex9Accounting"/>
      <w:bookmarkEnd w:id="50"/>
    </w:p>
    <w:sectPr w:rsidR="00C36AB4" w:rsidSect="002109F1">
      <w:headerReference w:type="default" r:id="rId23"/>
      <w:footerReference w:type="even" r:id="rId24"/>
      <w:footerReference w:type="default" r:id="rId25"/>
      <w:footnotePr>
        <w:numFmt w:val="chicago"/>
        <w:numRestart w:val="eachPage"/>
      </w:footnotePr>
      <w:pgSz w:w="12240" w:h="15840" w:code="1"/>
      <w:pgMar w:top="340" w:right="907" w:bottom="340" w:left="907" w:header="720" w:footer="720" w:gutter="0"/>
      <w:pgNumType w:start="1"/>
      <w:cols w:space="720"/>
      <w:titlePg/>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9F1" w:rsidRDefault="002109F1">
      <w:r>
        <w:separator/>
      </w:r>
    </w:p>
    <w:p w:rsidR="002109F1" w:rsidRDefault="002109F1"/>
  </w:endnote>
  <w:endnote w:type="continuationSeparator" w:id="0">
    <w:p w:rsidR="002109F1" w:rsidRDefault="002109F1">
      <w:r>
        <w:continuationSeparator/>
      </w:r>
    </w:p>
    <w:p w:rsidR="002109F1" w:rsidRDefault="002109F1"/>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848" w:rsidRDefault="00E528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9F1" w:rsidRPr="00803E52" w:rsidRDefault="00151B3D" w:rsidP="00803E52">
    <w:pPr>
      <w:pStyle w:val="Footer"/>
      <w:jc w:val="center"/>
      <w:rPr>
        <w:rFonts w:ascii="Arial" w:hAnsi="Arial" w:cs="Arial"/>
        <w:lang w:val="en-US"/>
      </w:rPr>
    </w:pPr>
    <w:r>
      <w:rPr>
        <w:rStyle w:val="PageNumber"/>
      </w:rPr>
      <w:fldChar w:fldCharType="begin"/>
    </w:r>
    <w:r w:rsidR="002109F1">
      <w:rPr>
        <w:rStyle w:val="PageNumber"/>
      </w:rPr>
      <w:instrText xml:space="preserve"> PAGE </w:instrText>
    </w:r>
    <w:r>
      <w:rPr>
        <w:rStyle w:val="PageNumber"/>
      </w:rPr>
      <w:fldChar w:fldCharType="separate"/>
    </w:r>
    <w:r w:rsidR="0041461A">
      <w:rPr>
        <w:rStyle w:val="PageNumber"/>
        <w:noProof/>
      </w:rPr>
      <w:t>7</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848" w:rsidRDefault="00E5284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9F1" w:rsidRDefault="00151B3D">
    <w:pPr>
      <w:pStyle w:val="Footer"/>
      <w:framePr w:wrap="around" w:vAnchor="text" w:hAnchor="margin" w:xAlign="right" w:y="1"/>
      <w:rPr>
        <w:rStyle w:val="PageNumber"/>
      </w:rPr>
    </w:pPr>
    <w:r>
      <w:rPr>
        <w:rStyle w:val="PageNumber"/>
      </w:rPr>
      <w:fldChar w:fldCharType="begin"/>
    </w:r>
    <w:r w:rsidR="002109F1">
      <w:rPr>
        <w:rStyle w:val="PageNumber"/>
      </w:rPr>
      <w:instrText xml:space="preserve">PAGE  </w:instrText>
    </w:r>
    <w:r>
      <w:rPr>
        <w:rStyle w:val="PageNumber"/>
      </w:rPr>
      <w:fldChar w:fldCharType="separate"/>
    </w:r>
    <w:r w:rsidR="002109F1">
      <w:rPr>
        <w:rStyle w:val="PageNumber"/>
        <w:noProof/>
      </w:rPr>
      <w:t>23</w:t>
    </w:r>
    <w:r>
      <w:rPr>
        <w:rStyle w:val="PageNumber"/>
      </w:rPr>
      <w:fldChar w:fldCharType="end"/>
    </w:r>
  </w:p>
  <w:p w:rsidR="002109F1" w:rsidRDefault="002109F1">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9F1" w:rsidRDefault="002109F1" w:rsidP="00F51C80">
    <w:pPr>
      <w:pStyle w:val="Footer"/>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9F1" w:rsidRDefault="002109F1">
      <w:r>
        <w:separator/>
      </w:r>
    </w:p>
    <w:p w:rsidR="002109F1" w:rsidRDefault="002109F1"/>
  </w:footnote>
  <w:footnote w:type="continuationSeparator" w:id="0">
    <w:p w:rsidR="002109F1" w:rsidRDefault="002109F1">
      <w:r>
        <w:continuationSeparator/>
      </w:r>
    </w:p>
    <w:p w:rsidR="002109F1" w:rsidRDefault="002109F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848" w:rsidRDefault="00E528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848" w:rsidRDefault="00E5284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848" w:rsidRDefault="00E5284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9F1" w:rsidRDefault="002109F1"/>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9F1" w:rsidRPr="004E3850" w:rsidRDefault="002109F1" w:rsidP="00111C4C">
    <w:pPr>
      <w:pStyle w:val="Header"/>
      <w:tabs>
        <w:tab w:val="clear" w:pos="4320"/>
        <w:tab w:val="clear" w:pos="8640"/>
        <w:tab w:val="center" w:pos="5103"/>
        <w:tab w:val="right" w:pos="10348"/>
      </w:tabs>
      <w:rPr>
        <w:rStyle w:val="Instructions"/>
        <w:rFonts w:ascii="Arial" w:hAnsi="Arial" w:cs="Arial"/>
        <w:color w:val="FF0000"/>
      </w:rPr>
    </w:pPr>
    <w:r w:rsidRPr="004E3850">
      <w:rPr>
        <w:rStyle w:val="Instructions"/>
        <w:rFonts w:ascii="Arial" w:hAnsi="Arial" w:cs="Arial"/>
      </w:rPr>
      <w:t xml:space="preserve">project title, NPD, </w:t>
    </w:r>
    <w:smartTag w:uri="urn:schemas-microsoft-com:office:smarttags" w:element="stockticker">
      <w:r w:rsidRPr="004E3850">
        <w:rPr>
          <w:rStyle w:val="Instructions"/>
          <w:rFonts w:ascii="Arial" w:hAnsi="Arial" w:cs="Arial"/>
        </w:rPr>
        <w:t>PPD</w:t>
      </w:r>
    </w:smartTag>
    <w:r w:rsidRPr="004E3850">
      <w:rPr>
        <w:rStyle w:val="Instructions"/>
        <w:rFonts w:ascii="Arial" w:hAnsi="Arial" w:cs="Arial"/>
      </w:rPr>
      <w:tab/>
    </w:r>
    <w:r w:rsidRPr="00E028D0">
      <w:rPr>
        <w:rFonts w:ascii="Arial" w:hAnsi="Arial" w:cs="Arial"/>
        <w:b/>
        <w:color w:val="6DABD9"/>
        <w:szCs w:val="18"/>
      </w:rPr>
      <w:t>project</w:t>
    </w:r>
    <w:r w:rsidRPr="00E028D0">
      <w:rPr>
        <w:color w:val="6DABD9"/>
      </w:rPr>
      <w:t xml:space="preserve"> </w:t>
    </w:r>
    <w:r>
      <w:rPr>
        <w:rFonts w:ascii="Arial" w:hAnsi="Arial" w:cs="Arial"/>
        <w:b/>
        <w:color w:val="6DABD9"/>
        <w:szCs w:val="18"/>
      </w:rPr>
      <w:t>application</w:t>
    </w:r>
    <w:r w:rsidRPr="004E3850">
      <w:rPr>
        <w:rStyle w:val="Instructions"/>
        <w:rFonts w:ascii="Arial" w:hAnsi="Arial" w:cs="Arial"/>
      </w:rPr>
      <w:tab/>
    </w:r>
    <w:r w:rsidRPr="00E028D0">
      <w:rPr>
        <w:rFonts w:ascii="Arial" w:hAnsi="Arial" w:cs="Arial"/>
        <w:b/>
        <w:color w:val="6DABD9"/>
        <w:szCs w:val="18"/>
      </w:rPr>
      <w:t>NATO internal use</w:t>
    </w:r>
  </w:p>
  <w:p w:rsidR="002109F1" w:rsidRPr="00111C4C" w:rsidRDefault="002109F1" w:rsidP="00111C4C">
    <w:pPr>
      <w:pStyle w:val="Header"/>
      <w:tabs>
        <w:tab w:val="clear" w:pos="8640"/>
        <w:tab w:val="left" w:pos="8789"/>
        <w:tab w:val="right" w:pos="10348"/>
      </w:tabs>
      <w:spacing w:after="120"/>
      <w:rPr>
        <w:rStyle w:val="Instructions"/>
        <w:rFonts w:ascii="Arial" w:hAnsi="Arial" w:cs="Arial"/>
        <w:b/>
        <w:i w:val="0"/>
        <w:color w:val="FF0000"/>
      </w:rPr>
    </w:pPr>
    <w:r>
      <w:rPr>
        <w:rStyle w:val="Instructions"/>
        <w:rFonts w:ascii="Arial" w:hAnsi="Arial" w:cs="Arial"/>
      </w:rPr>
      <w:tab/>
    </w:r>
    <w:r w:rsidRPr="00E028D0">
      <w:tab/>
    </w:r>
    <w:r w:rsidRPr="00E028D0">
      <w:rPr>
        <w:rFonts w:ascii="Arial" w:hAnsi="Arial" w:cs="Arial"/>
        <w:b/>
        <w:color w:val="6DABD9"/>
        <w:szCs w:val="18"/>
      </w:rPr>
      <w:t>SPS:</w:t>
    </w:r>
    <w:r>
      <w:rPr>
        <w:rFonts w:ascii="Arial" w:hAnsi="Arial" w:cs="Arial"/>
        <w:b/>
        <w:color w:val="FF0000"/>
        <w:szCs w:val="18"/>
      </w:rPr>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9F1" w:rsidRPr="00564890" w:rsidRDefault="002109F1" w:rsidP="00F51C80">
    <w:pPr>
      <w:tabs>
        <w:tab w:val="left" w:pos="-1135"/>
        <w:tab w:val="left" w:pos="-415"/>
        <w:tab w:val="left" w:pos="305"/>
        <w:tab w:val="left" w:pos="665"/>
        <w:tab w:val="left" w:pos="1025"/>
        <w:tab w:val="left" w:pos="1385"/>
        <w:tab w:val="left" w:pos="1745"/>
        <w:tab w:val="left" w:pos="2105"/>
        <w:tab w:val="left" w:pos="2465"/>
        <w:tab w:val="left" w:pos="2825"/>
        <w:tab w:val="left" w:pos="3185"/>
        <w:tab w:val="left" w:pos="3545"/>
        <w:tab w:val="left" w:pos="3905"/>
        <w:tab w:val="left" w:pos="4265"/>
        <w:tab w:val="left" w:pos="4625"/>
        <w:tab w:val="left" w:pos="4985"/>
        <w:tab w:val="left" w:pos="5345"/>
        <w:tab w:val="left" w:pos="5705"/>
        <w:tab w:val="left" w:pos="6065"/>
        <w:tab w:val="left" w:pos="6425"/>
        <w:tab w:val="left" w:pos="6785"/>
        <w:tab w:val="left" w:pos="7145"/>
        <w:tab w:val="left" w:pos="7505"/>
        <w:tab w:val="left" w:pos="7865"/>
        <w:tab w:val="left" w:pos="8225"/>
        <w:tab w:val="left" w:pos="8945"/>
      </w:tabs>
      <w:ind w:left="305" w:right="737"/>
      <w:jc w:val="center"/>
      <w:rPr>
        <w:rFonts w:ascii="Arial" w:hAnsi="Arial"/>
        <w:sz w:val="16"/>
      </w:rPr>
    </w:pPr>
    <w:r>
      <w:rPr>
        <w:rFonts w:ascii="Arial" w:hAnsi="Arial"/>
        <w:sz w:val="16"/>
      </w:rPr>
      <w:t>Information for the Preparation of Project Plans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1E08BC"/>
    <w:multiLevelType w:val="hybridMultilevel"/>
    <w:tmpl w:val="A482BEF8"/>
    <w:lvl w:ilvl="0" w:tplc="04090009">
      <w:start w:val="1"/>
      <w:numFmt w:val="bullet"/>
      <w:lvlText w:val=""/>
      <w:lvlJc w:val="left"/>
      <w:pPr>
        <w:tabs>
          <w:tab w:val="num" w:pos="720"/>
        </w:tabs>
        <w:ind w:left="720" w:hanging="360"/>
      </w:pPr>
      <w:rPr>
        <w:rFonts w:ascii="Wingdings" w:hAnsi="Wingdings" w:hint="default"/>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0247D4"/>
    <w:multiLevelType w:val="hybridMultilevel"/>
    <w:tmpl w:val="9DC06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8A37F6"/>
    <w:multiLevelType w:val="hybridMultilevel"/>
    <w:tmpl w:val="522E19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D95641"/>
    <w:multiLevelType w:val="hybridMultilevel"/>
    <w:tmpl w:val="8CA28B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D55A29"/>
    <w:multiLevelType w:val="hybridMultilevel"/>
    <w:tmpl w:val="48D808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B2A77AE"/>
    <w:multiLevelType w:val="hybridMultilevel"/>
    <w:tmpl w:val="5B94A6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D7E49F1"/>
    <w:multiLevelType w:val="hybridMultilevel"/>
    <w:tmpl w:val="B8AE6C6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0EA0387F"/>
    <w:multiLevelType w:val="hybridMultilevel"/>
    <w:tmpl w:val="6C240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D82B7A"/>
    <w:multiLevelType w:val="hybridMultilevel"/>
    <w:tmpl w:val="5A4A4A58"/>
    <w:lvl w:ilvl="0" w:tplc="C034FF34">
      <w:start w:val="1"/>
      <w:numFmt w:val="bullet"/>
      <w:lvlText w:val=""/>
      <w:lvlJc w:val="left"/>
      <w:pPr>
        <w:tabs>
          <w:tab w:val="num" w:pos="720"/>
        </w:tabs>
        <w:ind w:left="720" w:hanging="360"/>
      </w:pPr>
      <w:rPr>
        <w:rFonts w:ascii="Symbol" w:hAnsi="Symbo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3AE2456"/>
    <w:multiLevelType w:val="hybridMultilevel"/>
    <w:tmpl w:val="443E57B4"/>
    <w:lvl w:ilvl="0" w:tplc="A1E427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2C4C0C"/>
    <w:multiLevelType w:val="multilevel"/>
    <w:tmpl w:val="3E70BFD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F624BAE"/>
    <w:multiLevelType w:val="hybridMultilevel"/>
    <w:tmpl w:val="4574E158"/>
    <w:lvl w:ilvl="0" w:tplc="04090009">
      <w:start w:val="1"/>
      <w:numFmt w:val="bullet"/>
      <w:lvlText w:val=""/>
      <w:lvlJc w:val="left"/>
      <w:pPr>
        <w:tabs>
          <w:tab w:val="num" w:pos="720"/>
        </w:tabs>
        <w:ind w:left="720" w:hanging="360"/>
      </w:pPr>
      <w:rPr>
        <w:rFonts w:ascii="Wingdings" w:hAnsi="Wingdings"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21B3504"/>
    <w:multiLevelType w:val="hybridMultilevel"/>
    <w:tmpl w:val="3E40A768"/>
    <w:lvl w:ilvl="0" w:tplc="EC3C36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243349"/>
    <w:multiLevelType w:val="hybridMultilevel"/>
    <w:tmpl w:val="78ACBD82"/>
    <w:lvl w:ilvl="0" w:tplc="04090009">
      <w:start w:val="1"/>
      <w:numFmt w:val="bullet"/>
      <w:lvlText w:val=""/>
      <w:lvlJc w:val="left"/>
      <w:pPr>
        <w:tabs>
          <w:tab w:val="num" w:pos="720"/>
        </w:tabs>
        <w:ind w:left="720" w:hanging="360"/>
      </w:pPr>
      <w:rPr>
        <w:rFonts w:ascii="Wingdings" w:hAnsi="Wingdings"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CE71046"/>
    <w:multiLevelType w:val="hybridMultilevel"/>
    <w:tmpl w:val="FF7A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FF7095"/>
    <w:multiLevelType w:val="singleLevel"/>
    <w:tmpl w:val="0409000F"/>
    <w:lvl w:ilvl="0">
      <w:start w:val="1"/>
      <w:numFmt w:val="decimal"/>
      <w:lvlText w:val="%1."/>
      <w:lvlJc w:val="left"/>
      <w:pPr>
        <w:tabs>
          <w:tab w:val="num" w:pos="360"/>
        </w:tabs>
        <w:ind w:left="360" w:hanging="360"/>
      </w:pPr>
    </w:lvl>
  </w:abstractNum>
  <w:abstractNum w:abstractNumId="17">
    <w:nsid w:val="51B261E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4AB5B48"/>
    <w:multiLevelType w:val="hybridMultilevel"/>
    <w:tmpl w:val="0EE842FE"/>
    <w:lvl w:ilvl="0" w:tplc="5DD2D3A8">
      <w:start w:val="1"/>
      <w:numFmt w:val="bullet"/>
      <w:pStyle w:val="BulletList"/>
      <w:lvlText w:val=""/>
      <w:lvlJc w:val="left"/>
      <w:pPr>
        <w:tabs>
          <w:tab w:val="num" w:pos="720"/>
        </w:tabs>
        <w:ind w:left="720" w:hanging="360"/>
      </w:pPr>
      <w:rPr>
        <w:rFonts w:ascii="Symbol" w:hAnsi="Symbo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0F430EF"/>
    <w:multiLevelType w:val="multilevel"/>
    <w:tmpl w:val="09788110"/>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62080A4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32B46B3"/>
    <w:multiLevelType w:val="hybridMultilevel"/>
    <w:tmpl w:val="4DD07E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C04D63"/>
    <w:multiLevelType w:val="hybridMultilevel"/>
    <w:tmpl w:val="23BAF210"/>
    <w:lvl w:ilvl="0" w:tplc="04090009">
      <w:start w:val="1"/>
      <w:numFmt w:val="bullet"/>
      <w:lvlText w:val=""/>
      <w:lvlJc w:val="left"/>
      <w:pPr>
        <w:tabs>
          <w:tab w:val="num" w:pos="720"/>
        </w:tabs>
        <w:ind w:left="720" w:hanging="360"/>
      </w:pPr>
      <w:rPr>
        <w:rFonts w:ascii="Wingdings" w:hAnsi="Wingdings"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B783107"/>
    <w:multiLevelType w:val="hybridMultilevel"/>
    <w:tmpl w:val="26B2EC22"/>
    <w:lvl w:ilvl="0" w:tplc="04090009">
      <w:start w:val="1"/>
      <w:numFmt w:val="bullet"/>
      <w:lvlText w:val=""/>
      <w:lvlJc w:val="left"/>
      <w:pPr>
        <w:tabs>
          <w:tab w:val="num" w:pos="720"/>
        </w:tabs>
        <w:ind w:left="720" w:hanging="360"/>
      </w:pPr>
      <w:rPr>
        <w:rFonts w:ascii="Wingdings" w:hAnsi="Wingdings"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22424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3280DA3"/>
    <w:multiLevelType w:val="hybridMultilevel"/>
    <w:tmpl w:val="D5884DB2"/>
    <w:lvl w:ilvl="0" w:tplc="BC6AAE7E">
      <w:start w:val="1"/>
      <w:numFmt w:val="decimal"/>
      <w:lvlText w:val="Annex %1: "/>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46638C0"/>
    <w:multiLevelType w:val="multilevel"/>
    <w:tmpl w:val="AC8859F0"/>
    <w:lvl w:ilvl="0">
      <w:start w:val="10"/>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18"/>
  </w:num>
  <w:num w:numId="3">
    <w:abstractNumId w:val="1"/>
  </w:num>
  <w:num w:numId="4">
    <w:abstractNumId w:val="23"/>
  </w:num>
  <w:num w:numId="5">
    <w:abstractNumId w:val="12"/>
  </w:num>
  <w:num w:numId="6">
    <w:abstractNumId w:val="14"/>
  </w:num>
  <w:num w:numId="7">
    <w:abstractNumId w:val="22"/>
  </w:num>
  <w:num w:numId="8">
    <w:abstractNumId w:val="17"/>
  </w:num>
  <w:num w:numId="9">
    <w:abstractNumId w:val="9"/>
  </w:num>
  <w:num w:numId="10">
    <w:abstractNumId w:val="25"/>
  </w:num>
  <w:num w:numId="11">
    <w:abstractNumId w:val="4"/>
  </w:num>
  <w:num w:numId="12">
    <w:abstractNumId w:val="6"/>
  </w:num>
  <w:num w:numId="13">
    <w:abstractNumId w:val="2"/>
  </w:num>
  <w:num w:numId="14">
    <w:abstractNumId w:val="10"/>
  </w:num>
  <w:num w:numId="15">
    <w:abstractNumId w:val="15"/>
  </w:num>
  <w:num w:numId="16">
    <w:abstractNumId w:val="13"/>
  </w:num>
  <w:num w:numId="17">
    <w:abstractNumId w:val="0"/>
    <w:lvlOverride w:ilvl="0">
      <w:lvl w:ilvl="0">
        <w:numFmt w:val="bullet"/>
        <w:lvlText w:val=""/>
        <w:legacy w:legacy="1" w:legacySpace="0" w:legacyIndent="216"/>
        <w:lvlJc w:val="left"/>
        <w:pPr>
          <w:ind w:left="935" w:hanging="216"/>
        </w:pPr>
        <w:rPr>
          <w:rFonts w:ascii="Symbol" w:hAnsi="Symbol" w:hint="default"/>
        </w:rPr>
      </w:lvl>
    </w:lvlOverride>
  </w:num>
  <w:num w:numId="18">
    <w:abstractNumId w:val="20"/>
  </w:num>
  <w:num w:numId="19">
    <w:abstractNumId w:val="8"/>
  </w:num>
  <w:num w:numId="20">
    <w:abstractNumId w:val="16"/>
  </w:num>
  <w:num w:numId="21">
    <w:abstractNumId w:val="21"/>
  </w:num>
  <w:num w:numId="22">
    <w:abstractNumId w:val="7"/>
  </w:num>
  <w:num w:numId="23">
    <w:abstractNumId w:val="26"/>
  </w:num>
  <w:num w:numId="24">
    <w:abstractNumId w:val="19"/>
  </w:num>
  <w:num w:numId="25">
    <w:abstractNumId w:val="3"/>
  </w:num>
  <w:num w:numId="26">
    <w:abstractNumId w:val="24"/>
  </w:num>
  <w:num w:numId="27">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stylePaneFormatFilter w:val="3001"/>
  <w:defaultTabStop w:val="720"/>
  <w:doNotHyphenateCaps/>
  <w:drawingGridHorizontalSpacing w:val="90"/>
  <w:drawingGridVerticalSpacing w:val="0"/>
  <w:displayHorizontalDrawingGridEvery w:val="0"/>
  <w:displayVerticalDrawingGridEvery w:val="0"/>
  <w:characterSpacingControl w:val="doNotCompress"/>
  <w:savePreviewPicture/>
  <w:hdrShapeDefaults>
    <o:shapedefaults v:ext="edit" spidmax="27649"/>
  </w:hdrShapeDefaults>
  <w:footnotePr>
    <w:numFmt w:val="chicago"/>
    <w:numRestart w:val="eachPage"/>
    <w:footnote w:id="-1"/>
    <w:footnote w:id="0"/>
  </w:footnotePr>
  <w:endnotePr>
    <w:endnote w:id="-1"/>
    <w:endnote w:id="0"/>
  </w:endnotePr>
  <w:compat/>
  <w:docVars>
    <w:docVar w:name="IPSpeechSession$" w:val="FALSE"/>
    <w:docVar w:name="IPSpeechSessionSaved$" w:val="FALSE"/>
  </w:docVars>
  <w:rsids>
    <w:rsidRoot w:val="0065281B"/>
    <w:rsid w:val="000008F8"/>
    <w:rsid w:val="000023DD"/>
    <w:rsid w:val="00007056"/>
    <w:rsid w:val="000120B1"/>
    <w:rsid w:val="0001316B"/>
    <w:rsid w:val="00013244"/>
    <w:rsid w:val="00021E95"/>
    <w:rsid w:val="0002231D"/>
    <w:rsid w:val="0002314E"/>
    <w:rsid w:val="00031147"/>
    <w:rsid w:val="00031E75"/>
    <w:rsid w:val="000327F1"/>
    <w:rsid w:val="00036889"/>
    <w:rsid w:val="00041523"/>
    <w:rsid w:val="000418B7"/>
    <w:rsid w:val="000448C7"/>
    <w:rsid w:val="0005163C"/>
    <w:rsid w:val="00052032"/>
    <w:rsid w:val="000543E5"/>
    <w:rsid w:val="00060580"/>
    <w:rsid w:val="00060677"/>
    <w:rsid w:val="00061753"/>
    <w:rsid w:val="00062DD1"/>
    <w:rsid w:val="00065BE8"/>
    <w:rsid w:val="000672E7"/>
    <w:rsid w:val="00067D35"/>
    <w:rsid w:val="00077616"/>
    <w:rsid w:val="00077890"/>
    <w:rsid w:val="00080477"/>
    <w:rsid w:val="00084F7E"/>
    <w:rsid w:val="00087C24"/>
    <w:rsid w:val="00090D7A"/>
    <w:rsid w:val="00091ACD"/>
    <w:rsid w:val="00092F5C"/>
    <w:rsid w:val="00093749"/>
    <w:rsid w:val="000956E6"/>
    <w:rsid w:val="00096E7A"/>
    <w:rsid w:val="000973AA"/>
    <w:rsid w:val="000A0337"/>
    <w:rsid w:val="000A15BE"/>
    <w:rsid w:val="000A1936"/>
    <w:rsid w:val="000A1E6E"/>
    <w:rsid w:val="000A5DB2"/>
    <w:rsid w:val="000A765D"/>
    <w:rsid w:val="000B2CA0"/>
    <w:rsid w:val="000B36B7"/>
    <w:rsid w:val="000B4279"/>
    <w:rsid w:val="000B4C9C"/>
    <w:rsid w:val="000C4859"/>
    <w:rsid w:val="000C5B37"/>
    <w:rsid w:val="000C6317"/>
    <w:rsid w:val="000C637F"/>
    <w:rsid w:val="000D422D"/>
    <w:rsid w:val="000D76C8"/>
    <w:rsid w:val="000E384C"/>
    <w:rsid w:val="000F1785"/>
    <w:rsid w:val="000F3B50"/>
    <w:rsid w:val="000F45D8"/>
    <w:rsid w:val="000F7FBA"/>
    <w:rsid w:val="0010028C"/>
    <w:rsid w:val="0010054E"/>
    <w:rsid w:val="001040AD"/>
    <w:rsid w:val="00105E46"/>
    <w:rsid w:val="00111C4C"/>
    <w:rsid w:val="001131B2"/>
    <w:rsid w:val="00114082"/>
    <w:rsid w:val="0011710D"/>
    <w:rsid w:val="001211BF"/>
    <w:rsid w:val="00122CEF"/>
    <w:rsid w:val="001256C6"/>
    <w:rsid w:val="001260B4"/>
    <w:rsid w:val="00130154"/>
    <w:rsid w:val="0013699F"/>
    <w:rsid w:val="00141BBE"/>
    <w:rsid w:val="00147958"/>
    <w:rsid w:val="00151315"/>
    <w:rsid w:val="00151B3D"/>
    <w:rsid w:val="0015500F"/>
    <w:rsid w:val="0016384F"/>
    <w:rsid w:val="00171CC4"/>
    <w:rsid w:val="0017671F"/>
    <w:rsid w:val="00190529"/>
    <w:rsid w:val="001A4B39"/>
    <w:rsid w:val="001B00A9"/>
    <w:rsid w:val="001B0AE2"/>
    <w:rsid w:val="001B5752"/>
    <w:rsid w:val="001C030A"/>
    <w:rsid w:val="001C44A1"/>
    <w:rsid w:val="001C681B"/>
    <w:rsid w:val="001D204F"/>
    <w:rsid w:val="001D218C"/>
    <w:rsid w:val="001D3D23"/>
    <w:rsid w:val="001E0017"/>
    <w:rsid w:val="001E6C71"/>
    <w:rsid w:val="002107CB"/>
    <w:rsid w:val="002109F1"/>
    <w:rsid w:val="00210EF9"/>
    <w:rsid w:val="002120D9"/>
    <w:rsid w:val="00213852"/>
    <w:rsid w:val="00215D1D"/>
    <w:rsid w:val="002164A2"/>
    <w:rsid w:val="002166F2"/>
    <w:rsid w:val="00227F17"/>
    <w:rsid w:val="0023155D"/>
    <w:rsid w:val="00231CC2"/>
    <w:rsid w:val="0023427D"/>
    <w:rsid w:val="00234914"/>
    <w:rsid w:val="002419A8"/>
    <w:rsid w:val="00243326"/>
    <w:rsid w:val="00247CD3"/>
    <w:rsid w:val="002535BF"/>
    <w:rsid w:val="00256EB8"/>
    <w:rsid w:val="00257746"/>
    <w:rsid w:val="00262B0F"/>
    <w:rsid w:val="002635D6"/>
    <w:rsid w:val="00264875"/>
    <w:rsid w:val="0026574B"/>
    <w:rsid w:val="00266DE9"/>
    <w:rsid w:val="00270D8F"/>
    <w:rsid w:val="00273D61"/>
    <w:rsid w:val="0027635A"/>
    <w:rsid w:val="002812B8"/>
    <w:rsid w:val="002812DC"/>
    <w:rsid w:val="0028200D"/>
    <w:rsid w:val="002824F3"/>
    <w:rsid w:val="00294FCC"/>
    <w:rsid w:val="00297CE7"/>
    <w:rsid w:val="00297D4D"/>
    <w:rsid w:val="002A3904"/>
    <w:rsid w:val="002A5A97"/>
    <w:rsid w:val="002A5F25"/>
    <w:rsid w:val="002B102C"/>
    <w:rsid w:val="002B208F"/>
    <w:rsid w:val="002B75F1"/>
    <w:rsid w:val="002C4BD1"/>
    <w:rsid w:val="002C634C"/>
    <w:rsid w:val="002D09D8"/>
    <w:rsid w:val="002D1DCD"/>
    <w:rsid w:val="002E2841"/>
    <w:rsid w:val="002E3DF2"/>
    <w:rsid w:val="002E4C97"/>
    <w:rsid w:val="002F294A"/>
    <w:rsid w:val="002F5B07"/>
    <w:rsid w:val="003002B1"/>
    <w:rsid w:val="00306E1A"/>
    <w:rsid w:val="00311667"/>
    <w:rsid w:val="00321B29"/>
    <w:rsid w:val="00323B8A"/>
    <w:rsid w:val="00327597"/>
    <w:rsid w:val="0033182F"/>
    <w:rsid w:val="00332475"/>
    <w:rsid w:val="003370FE"/>
    <w:rsid w:val="00340AA9"/>
    <w:rsid w:val="00355477"/>
    <w:rsid w:val="00360ABC"/>
    <w:rsid w:val="00360DAA"/>
    <w:rsid w:val="003628F6"/>
    <w:rsid w:val="00363390"/>
    <w:rsid w:val="00365142"/>
    <w:rsid w:val="00371F66"/>
    <w:rsid w:val="0037305A"/>
    <w:rsid w:val="003752DD"/>
    <w:rsid w:val="00381F72"/>
    <w:rsid w:val="003825E2"/>
    <w:rsid w:val="00382A44"/>
    <w:rsid w:val="0038437E"/>
    <w:rsid w:val="00387C72"/>
    <w:rsid w:val="00387FC6"/>
    <w:rsid w:val="00387FF4"/>
    <w:rsid w:val="00390D35"/>
    <w:rsid w:val="0039185C"/>
    <w:rsid w:val="0039404D"/>
    <w:rsid w:val="0039516D"/>
    <w:rsid w:val="003A4D2C"/>
    <w:rsid w:val="003A4DB9"/>
    <w:rsid w:val="003A51C2"/>
    <w:rsid w:val="003A5C42"/>
    <w:rsid w:val="003B058A"/>
    <w:rsid w:val="003B7AF5"/>
    <w:rsid w:val="003C2685"/>
    <w:rsid w:val="003C3426"/>
    <w:rsid w:val="003D1ACC"/>
    <w:rsid w:val="003D32FC"/>
    <w:rsid w:val="003D74F6"/>
    <w:rsid w:val="003E43EB"/>
    <w:rsid w:val="003E691C"/>
    <w:rsid w:val="003F0F04"/>
    <w:rsid w:val="003F553F"/>
    <w:rsid w:val="00404303"/>
    <w:rsid w:val="004050ED"/>
    <w:rsid w:val="0040544E"/>
    <w:rsid w:val="0041461A"/>
    <w:rsid w:val="004211B3"/>
    <w:rsid w:val="004247B0"/>
    <w:rsid w:val="00425834"/>
    <w:rsid w:val="00425C84"/>
    <w:rsid w:val="00430320"/>
    <w:rsid w:val="004319DE"/>
    <w:rsid w:val="00436E03"/>
    <w:rsid w:val="004418D6"/>
    <w:rsid w:val="00441C90"/>
    <w:rsid w:val="00441D6D"/>
    <w:rsid w:val="00442CF6"/>
    <w:rsid w:val="0044719A"/>
    <w:rsid w:val="00452DFB"/>
    <w:rsid w:val="00453B3B"/>
    <w:rsid w:val="004540B7"/>
    <w:rsid w:val="0045471F"/>
    <w:rsid w:val="00457F79"/>
    <w:rsid w:val="004637D3"/>
    <w:rsid w:val="00481982"/>
    <w:rsid w:val="004827CC"/>
    <w:rsid w:val="0048296E"/>
    <w:rsid w:val="00486668"/>
    <w:rsid w:val="0049025F"/>
    <w:rsid w:val="00490E0F"/>
    <w:rsid w:val="00490F21"/>
    <w:rsid w:val="004A1E84"/>
    <w:rsid w:val="004B4EE4"/>
    <w:rsid w:val="004B675C"/>
    <w:rsid w:val="004C0734"/>
    <w:rsid w:val="004C1B1C"/>
    <w:rsid w:val="004C352A"/>
    <w:rsid w:val="004C5071"/>
    <w:rsid w:val="004C7B6D"/>
    <w:rsid w:val="004D2246"/>
    <w:rsid w:val="004D7616"/>
    <w:rsid w:val="004E3850"/>
    <w:rsid w:val="004E461B"/>
    <w:rsid w:val="004E4E50"/>
    <w:rsid w:val="004E5520"/>
    <w:rsid w:val="004F3E7D"/>
    <w:rsid w:val="004F5173"/>
    <w:rsid w:val="004F52AC"/>
    <w:rsid w:val="00500649"/>
    <w:rsid w:val="005126FA"/>
    <w:rsid w:val="005127C6"/>
    <w:rsid w:val="00513301"/>
    <w:rsid w:val="00516A21"/>
    <w:rsid w:val="005172D3"/>
    <w:rsid w:val="00517D39"/>
    <w:rsid w:val="00523CBA"/>
    <w:rsid w:val="0052481E"/>
    <w:rsid w:val="00532532"/>
    <w:rsid w:val="00540EC3"/>
    <w:rsid w:val="00542DCB"/>
    <w:rsid w:val="00552F7D"/>
    <w:rsid w:val="00554496"/>
    <w:rsid w:val="00562458"/>
    <w:rsid w:val="0056389A"/>
    <w:rsid w:val="005639E6"/>
    <w:rsid w:val="005646BD"/>
    <w:rsid w:val="005646DA"/>
    <w:rsid w:val="00571145"/>
    <w:rsid w:val="005729AA"/>
    <w:rsid w:val="00575D2D"/>
    <w:rsid w:val="00577D06"/>
    <w:rsid w:val="00580F05"/>
    <w:rsid w:val="005811BB"/>
    <w:rsid w:val="005815AA"/>
    <w:rsid w:val="00581D02"/>
    <w:rsid w:val="005822AE"/>
    <w:rsid w:val="0058543C"/>
    <w:rsid w:val="00586294"/>
    <w:rsid w:val="00591B51"/>
    <w:rsid w:val="00593A61"/>
    <w:rsid w:val="00593E0C"/>
    <w:rsid w:val="00595B3F"/>
    <w:rsid w:val="0059683F"/>
    <w:rsid w:val="005A28FE"/>
    <w:rsid w:val="005A3620"/>
    <w:rsid w:val="005B0F23"/>
    <w:rsid w:val="005B1C26"/>
    <w:rsid w:val="005C3256"/>
    <w:rsid w:val="005C45A7"/>
    <w:rsid w:val="005C6712"/>
    <w:rsid w:val="005C67BA"/>
    <w:rsid w:val="005D1680"/>
    <w:rsid w:val="005D169E"/>
    <w:rsid w:val="005E13FC"/>
    <w:rsid w:val="005E166F"/>
    <w:rsid w:val="005E22D1"/>
    <w:rsid w:val="005E34F7"/>
    <w:rsid w:val="005E5EF6"/>
    <w:rsid w:val="005F201B"/>
    <w:rsid w:val="0060017D"/>
    <w:rsid w:val="0060522A"/>
    <w:rsid w:val="00607F0A"/>
    <w:rsid w:val="006213BC"/>
    <w:rsid w:val="00627626"/>
    <w:rsid w:val="006306B4"/>
    <w:rsid w:val="00632C42"/>
    <w:rsid w:val="00640ADA"/>
    <w:rsid w:val="00643669"/>
    <w:rsid w:val="00644C2E"/>
    <w:rsid w:val="0065281B"/>
    <w:rsid w:val="00652D75"/>
    <w:rsid w:val="00653E28"/>
    <w:rsid w:val="006665AF"/>
    <w:rsid w:val="00666BDE"/>
    <w:rsid w:val="006740E2"/>
    <w:rsid w:val="00677FAD"/>
    <w:rsid w:val="00683278"/>
    <w:rsid w:val="00695094"/>
    <w:rsid w:val="006A3616"/>
    <w:rsid w:val="006B1CB2"/>
    <w:rsid w:val="006B4EDE"/>
    <w:rsid w:val="006B6311"/>
    <w:rsid w:val="006B69DA"/>
    <w:rsid w:val="006B6F49"/>
    <w:rsid w:val="006C024D"/>
    <w:rsid w:val="006C060B"/>
    <w:rsid w:val="006C0A92"/>
    <w:rsid w:val="006D78EB"/>
    <w:rsid w:val="006E3ED4"/>
    <w:rsid w:val="006F4E69"/>
    <w:rsid w:val="006F52EE"/>
    <w:rsid w:val="006F56B9"/>
    <w:rsid w:val="006F6B6C"/>
    <w:rsid w:val="006F7A9C"/>
    <w:rsid w:val="0070062D"/>
    <w:rsid w:val="007050B8"/>
    <w:rsid w:val="00706AA7"/>
    <w:rsid w:val="0071240C"/>
    <w:rsid w:val="00713AC5"/>
    <w:rsid w:val="00720D5F"/>
    <w:rsid w:val="007249F1"/>
    <w:rsid w:val="00724B10"/>
    <w:rsid w:val="00732D97"/>
    <w:rsid w:val="00735B61"/>
    <w:rsid w:val="00744D77"/>
    <w:rsid w:val="00751084"/>
    <w:rsid w:val="00751F7E"/>
    <w:rsid w:val="00755FCD"/>
    <w:rsid w:val="00756002"/>
    <w:rsid w:val="00773324"/>
    <w:rsid w:val="00775813"/>
    <w:rsid w:val="007768E9"/>
    <w:rsid w:val="0077721E"/>
    <w:rsid w:val="007802D0"/>
    <w:rsid w:val="00783DC7"/>
    <w:rsid w:val="00787956"/>
    <w:rsid w:val="00793F0F"/>
    <w:rsid w:val="007946EC"/>
    <w:rsid w:val="00794931"/>
    <w:rsid w:val="007A2BFC"/>
    <w:rsid w:val="007B1E5B"/>
    <w:rsid w:val="007B3C6F"/>
    <w:rsid w:val="007B6156"/>
    <w:rsid w:val="007B6D76"/>
    <w:rsid w:val="007B6E23"/>
    <w:rsid w:val="007C158A"/>
    <w:rsid w:val="007C1A1E"/>
    <w:rsid w:val="007C3149"/>
    <w:rsid w:val="007C4503"/>
    <w:rsid w:val="007C4DA2"/>
    <w:rsid w:val="007C5157"/>
    <w:rsid w:val="007C56CF"/>
    <w:rsid w:val="007C6720"/>
    <w:rsid w:val="007C6AEB"/>
    <w:rsid w:val="007D4D00"/>
    <w:rsid w:val="007D618F"/>
    <w:rsid w:val="007D6EEC"/>
    <w:rsid w:val="007D7DBD"/>
    <w:rsid w:val="007E4B8F"/>
    <w:rsid w:val="007E5AD4"/>
    <w:rsid w:val="007E5B86"/>
    <w:rsid w:val="007F10F0"/>
    <w:rsid w:val="007F1C5A"/>
    <w:rsid w:val="007F2689"/>
    <w:rsid w:val="007F4776"/>
    <w:rsid w:val="007F5166"/>
    <w:rsid w:val="007F718B"/>
    <w:rsid w:val="008017BF"/>
    <w:rsid w:val="00801968"/>
    <w:rsid w:val="00803E52"/>
    <w:rsid w:val="008058EF"/>
    <w:rsid w:val="008061C4"/>
    <w:rsid w:val="00806E2B"/>
    <w:rsid w:val="008127E0"/>
    <w:rsid w:val="008169B1"/>
    <w:rsid w:val="0082012A"/>
    <w:rsid w:val="00820480"/>
    <w:rsid w:val="008207C6"/>
    <w:rsid w:val="008243A8"/>
    <w:rsid w:val="008273C9"/>
    <w:rsid w:val="00827F1D"/>
    <w:rsid w:val="008340FD"/>
    <w:rsid w:val="008512C6"/>
    <w:rsid w:val="00855958"/>
    <w:rsid w:val="00860881"/>
    <w:rsid w:val="00864B2F"/>
    <w:rsid w:val="00867361"/>
    <w:rsid w:val="00867511"/>
    <w:rsid w:val="00870339"/>
    <w:rsid w:val="008734B0"/>
    <w:rsid w:val="00877378"/>
    <w:rsid w:val="00877F79"/>
    <w:rsid w:val="00880A25"/>
    <w:rsid w:val="0088327D"/>
    <w:rsid w:val="00886FDD"/>
    <w:rsid w:val="008A0E43"/>
    <w:rsid w:val="008A2F07"/>
    <w:rsid w:val="008B055C"/>
    <w:rsid w:val="008B3747"/>
    <w:rsid w:val="008B5D4B"/>
    <w:rsid w:val="008B747F"/>
    <w:rsid w:val="008C0F75"/>
    <w:rsid w:val="008C18EE"/>
    <w:rsid w:val="008C2C06"/>
    <w:rsid w:val="008C5777"/>
    <w:rsid w:val="008D394C"/>
    <w:rsid w:val="008D7A91"/>
    <w:rsid w:val="008E32AD"/>
    <w:rsid w:val="008E4F99"/>
    <w:rsid w:val="008E68BA"/>
    <w:rsid w:val="008E7D49"/>
    <w:rsid w:val="008E7F30"/>
    <w:rsid w:val="008E7F3A"/>
    <w:rsid w:val="008F1098"/>
    <w:rsid w:val="008F3E6E"/>
    <w:rsid w:val="008F4D73"/>
    <w:rsid w:val="0090066A"/>
    <w:rsid w:val="00900CE3"/>
    <w:rsid w:val="00904BB2"/>
    <w:rsid w:val="009105E5"/>
    <w:rsid w:val="0091218E"/>
    <w:rsid w:val="00912A20"/>
    <w:rsid w:val="0091651F"/>
    <w:rsid w:val="0091778E"/>
    <w:rsid w:val="00917B9E"/>
    <w:rsid w:val="00922727"/>
    <w:rsid w:val="009233A9"/>
    <w:rsid w:val="00923FC5"/>
    <w:rsid w:val="00925E5F"/>
    <w:rsid w:val="00926D68"/>
    <w:rsid w:val="00933E00"/>
    <w:rsid w:val="00935C7E"/>
    <w:rsid w:val="009368E2"/>
    <w:rsid w:val="009424BE"/>
    <w:rsid w:val="009457D2"/>
    <w:rsid w:val="009472A1"/>
    <w:rsid w:val="0095081D"/>
    <w:rsid w:val="00952AEA"/>
    <w:rsid w:val="00952B70"/>
    <w:rsid w:val="0095391D"/>
    <w:rsid w:val="009543F7"/>
    <w:rsid w:val="0095527D"/>
    <w:rsid w:val="00955FFF"/>
    <w:rsid w:val="0095713F"/>
    <w:rsid w:val="00960957"/>
    <w:rsid w:val="00963B53"/>
    <w:rsid w:val="009650CB"/>
    <w:rsid w:val="0096560F"/>
    <w:rsid w:val="00966470"/>
    <w:rsid w:val="00971760"/>
    <w:rsid w:val="00980EA9"/>
    <w:rsid w:val="00981372"/>
    <w:rsid w:val="0099067B"/>
    <w:rsid w:val="00990FFB"/>
    <w:rsid w:val="00992DE7"/>
    <w:rsid w:val="00993D26"/>
    <w:rsid w:val="00994BB9"/>
    <w:rsid w:val="009A44F1"/>
    <w:rsid w:val="009A6AB7"/>
    <w:rsid w:val="009C16F2"/>
    <w:rsid w:val="009C74EC"/>
    <w:rsid w:val="009D25EC"/>
    <w:rsid w:val="009E0AC3"/>
    <w:rsid w:val="009E0E0F"/>
    <w:rsid w:val="009F26D1"/>
    <w:rsid w:val="00A02B1C"/>
    <w:rsid w:val="00A03C68"/>
    <w:rsid w:val="00A0427C"/>
    <w:rsid w:val="00A04672"/>
    <w:rsid w:val="00A07EE6"/>
    <w:rsid w:val="00A1152D"/>
    <w:rsid w:val="00A14652"/>
    <w:rsid w:val="00A203DD"/>
    <w:rsid w:val="00A21B3E"/>
    <w:rsid w:val="00A32135"/>
    <w:rsid w:val="00A3433F"/>
    <w:rsid w:val="00A4009A"/>
    <w:rsid w:val="00A40E15"/>
    <w:rsid w:val="00A43BF4"/>
    <w:rsid w:val="00A47A11"/>
    <w:rsid w:val="00A50303"/>
    <w:rsid w:val="00A621E7"/>
    <w:rsid w:val="00A64438"/>
    <w:rsid w:val="00A662C2"/>
    <w:rsid w:val="00A67D78"/>
    <w:rsid w:val="00A72562"/>
    <w:rsid w:val="00A727DC"/>
    <w:rsid w:val="00A73A8B"/>
    <w:rsid w:val="00A81605"/>
    <w:rsid w:val="00A86591"/>
    <w:rsid w:val="00A906FC"/>
    <w:rsid w:val="00A91FEF"/>
    <w:rsid w:val="00A93EBD"/>
    <w:rsid w:val="00AA69DB"/>
    <w:rsid w:val="00AC13E2"/>
    <w:rsid w:val="00AC5B14"/>
    <w:rsid w:val="00AD3C4C"/>
    <w:rsid w:val="00AD54EC"/>
    <w:rsid w:val="00AD5EB4"/>
    <w:rsid w:val="00AE0833"/>
    <w:rsid w:val="00AE4689"/>
    <w:rsid w:val="00AF3F0C"/>
    <w:rsid w:val="00AF6211"/>
    <w:rsid w:val="00B03E7B"/>
    <w:rsid w:val="00B0478E"/>
    <w:rsid w:val="00B207AA"/>
    <w:rsid w:val="00B21C76"/>
    <w:rsid w:val="00B22710"/>
    <w:rsid w:val="00B2383D"/>
    <w:rsid w:val="00B23907"/>
    <w:rsid w:val="00B31408"/>
    <w:rsid w:val="00B32E0C"/>
    <w:rsid w:val="00B42762"/>
    <w:rsid w:val="00B4739D"/>
    <w:rsid w:val="00B508CD"/>
    <w:rsid w:val="00B520BB"/>
    <w:rsid w:val="00B573EF"/>
    <w:rsid w:val="00B579FC"/>
    <w:rsid w:val="00B60D1B"/>
    <w:rsid w:val="00B62169"/>
    <w:rsid w:val="00B635A5"/>
    <w:rsid w:val="00B64F3D"/>
    <w:rsid w:val="00B66AD7"/>
    <w:rsid w:val="00B7351B"/>
    <w:rsid w:val="00B76950"/>
    <w:rsid w:val="00B82B27"/>
    <w:rsid w:val="00B93E33"/>
    <w:rsid w:val="00B96F7D"/>
    <w:rsid w:val="00BA349A"/>
    <w:rsid w:val="00BB29D2"/>
    <w:rsid w:val="00BC1AA8"/>
    <w:rsid w:val="00BC473F"/>
    <w:rsid w:val="00BD50F2"/>
    <w:rsid w:val="00BD6B46"/>
    <w:rsid w:val="00BE1FBA"/>
    <w:rsid w:val="00BF3B65"/>
    <w:rsid w:val="00BF7DA6"/>
    <w:rsid w:val="00C030B7"/>
    <w:rsid w:val="00C04D82"/>
    <w:rsid w:val="00C1113A"/>
    <w:rsid w:val="00C112C4"/>
    <w:rsid w:val="00C120A6"/>
    <w:rsid w:val="00C14255"/>
    <w:rsid w:val="00C17001"/>
    <w:rsid w:val="00C17795"/>
    <w:rsid w:val="00C31A37"/>
    <w:rsid w:val="00C3366D"/>
    <w:rsid w:val="00C36AB4"/>
    <w:rsid w:val="00C40B10"/>
    <w:rsid w:val="00C426F1"/>
    <w:rsid w:val="00C43095"/>
    <w:rsid w:val="00C450B3"/>
    <w:rsid w:val="00C524FF"/>
    <w:rsid w:val="00C53AD0"/>
    <w:rsid w:val="00C55180"/>
    <w:rsid w:val="00C55BFF"/>
    <w:rsid w:val="00C60F85"/>
    <w:rsid w:val="00C62DC1"/>
    <w:rsid w:val="00C63D4A"/>
    <w:rsid w:val="00C6669E"/>
    <w:rsid w:val="00C72182"/>
    <w:rsid w:val="00C7592F"/>
    <w:rsid w:val="00C76528"/>
    <w:rsid w:val="00C76AB7"/>
    <w:rsid w:val="00C77764"/>
    <w:rsid w:val="00C81BC7"/>
    <w:rsid w:val="00C836F6"/>
    <w:rsid w:val="00C84084"/>
    <w:rsid w:val="00C939E9"/>
    <w:rsid w:val="00C93F59"/>
    <w:rsid w:val="00CA1B88"/>
    <w:rsid w:val="00CA1D44"/>
    <w:rsid w:val="00CA5F8C"/>
    <w:rsid w:val="00CC1700"/>
    <w:rsid w:val="00CC2EFB"/>
    <w:rsid w:val="00CC461F"/>
    <w:rsid w:val="00CD279B"/>
    <w:rsid w:val="00CD63EE"/>
    <w:rsid w:val="00CE5A91"/>
    <w:rsid w:val="00CE6729"/>
    <w:rsid w:val="00CE6F4E"/>
    <w:rsid w:val="00CE72F9"/>
    <w:rsid w:val="00CE7F69"/>
    <w:rsid w:val="00CF4EF7"/>
    <w:rsid w:val="00D03A65"/>
    <w:rsid w:val="00D0591B"/>
    <w:rsid w:val="00D076C9"/>
    <w:rsid w:val="00D126F2"/>
    <w:rsid w:val="00D13409"/>
    <w:rsid w:val="00D26D7E"/>
    <w:rsid w:val="00D3172B"/>
    <w:rsid w:val="00D32D4B"/>
    <w:rsid w:val="00D36C57"/>
    <w:rsid w:val="00D37DF8"/>
    <w:rsid w:val="00D448E3"/>
    <w:rsid w:val="00D51E97"/>
    <w:rsid w:val="00D523ED"/>
    <w:rsid w:val="00D529D1"/>
    <w:rsid w:val="00D52FAE"/>
    <w:rsid w:val="00D5334E"/>
    <w:rsid w:val="00D54B7E"/>
    <w:rsid w:val="00D5500D"/>
    <w:rsid w:val="00D57248"/>
    <w:rsid w:val="00D60CA6"/>
    <w:rsid w:val="00D6707F"/>
    <w:rsid w:val="00D70820"/>
    <w:rsid w:val="00D73B12"/>
    <w:rsid w:val="00D8312F"/>
    <w:rsid w:val="00D85189"/>
    <w:rsid w:val="00D866A4"/>
    <w:rsid w:val="00D95EE7"/>
    <w:rsid w:val="00D975C1"/>
    <w:rsid w:val="00DA0952"/>
    <w:rsid w:val="00DA0C36"/>
    <w:rsid w:val="00DA357D"/>
    <w:rsid w:val="00DA506C"/>
    <w:rsid w:val="00DA50C4"/>
    <w:rsid w:val="00DA5A97"/>
    <w:rsid w:val="00DA5EF8"/>
    <w:rsid w:val="00DA67C7"/>
    <w:rsid w:val="00DB585F"/>
    <w:rsid w:val="00DC0371"/>
    <w:rsid w:val="00DC3EF0"/>
    <w:rsid w:val="00DC5D5A"/>
    <w:rsid w:val="00DD386F"/>
    <w:rsid w:val="00DD526E"/>
    <w:rsid w:val="00DD5886"/>
    <w:rsid w:val="00DE6E77"/>
    <w:rsid w:val="00DF0E87"/>
    <w:rsid w:val="00DF3A56"/>
    <w:rsid w:val="00DF4183"/>
    <w:rsid w:val="00DF41A3"/>
    <w:rsid w:val="00DF4EB3"/>
    <w:rsid w:val="00E028D0"/>
    <w:rsid w:val="00E055D9"/>
    <w:rsid w:val="00E05CEF"/>
    <w:rsid w:val="00E078C7"/>
    <w:rsid w:val="00E10B1F"/>
    <w:rsid w:val="00E112E9"/>
    <w:rsid w:val="00E222EC"/>
    <w:rsid w:val="00E24F0B"/>
    <w:rsid w:val="00E314A3"/>
    <w:rsid w:val="00E33755"/>
    <w:rsid w:val="00E33870"/>
    <w:rsid w:val="00E35B3D"/>
    <w:rsid w:val="00E43D5A"/>
    <w:rsid w:val="00E43F86"/>
    <w:rsid w:val="00E46080"/>
    <w:rsid w:val="00E46B60"/>
    <w:rsid w:val="00E47802"/>
    <w:rsid w:val="00E47F91"/>
    <w:rsid w:val="00E5072C"/>
    <w:rsid w:val="00E52848"/>
    <w:rsid w:val="00E52976"/>
    <w:rsid w:val="00E5774B"/>
    <w:rsid w:val="00E6517E"/>
    <w:rsid w:val="00E66428"/>
    <w:rsid w:val="00E669FD"/>
    <w:rsid w:val="00E743FE"/>
    <w:rsid w:val="00E845C4"/>
    <w:rsid w:val="00E8685D"/>
    <w:rsid w:val="00E87A73"/>
    <w:rsid w:val="00E90118"/>
    <w:rsid w:val="00E94653"/>
    <w:rsid w:val="00E94D86"/>
    <w:rsid w:val="00EA0D0F"/>
    <w:rsid w:val="00EA2E0D"/>
    <w:rsid w:val="00EA378E"/>
    <w:rsid w:val="00EC4F71"/>
    <w:rsid w:val="00ED00F7"/>
    <w:rsid w:val="00ED0E4F"/>
    <w:rsid w:val="00ED3C77"/>
    <w:rsid w:val="00ED7086"/>
    <w:rsid w:val="00EF2966"/>
    <w:rsid w:val="00EF57EA"/>
    <w:rsid w:val="00EF73C0"/>
    <w:rsid w:val="00F0070A"/>
    <w:rsid w:val="00F02141"/>
    <w:rsid w:val="00F06DF1"/>
    <w:rsid w:val="00F07247"/>
    <w:rsid w:val="00F2026A"/>
    <w:rsid w:val="00F22AAB"/>
    <w:rsid w:val="00F267BD"/>
    <w:rsid w:val="00F32C22"/>
    <w:rsid w:val="00F33E75"/>
    <w:rsid w:val="00F36CEE"/>
    <w:rsid w:val="00F37CC0"/>
    <w:rsid w:val="00F40B42"/>
    <w:rsid w:val="00F40F1C"/>
    <w:rsid w:val="00F470AD"/>
    <w:rsid w:val="00F47A7B"/>
    <w:rsid w:val="00F51C80"/>
    <w:rsid w:val="00F56AD5"/>
    <w:rsid w:val="00F63D23"/>
    <w:rsid w:val="00F72BCE"/>
    <w:rsid w:val="00F73721"/>
    <w:rsid w:val="00F748ED"/>
    <w:rsid w:val="00F77BB9"/>
    <w:rsid w:val="00F84CD1"/>
    <w:rsid w:val="00F9061F"/>
    <w:rsid w:val="00F9114C"/>
    <w:rsid w:val="00F91B28"/>
    <w:rsid w:val="00FA303C"/>
    <w:rsid w:val="00FA387C"/>
    <w:rsid w:val="00FA41BB"/>
    <w:rsid w:val="00FB0371"/>
    <w:rsid w:val="00FC0488"/>
    <w:rsid w:val="00FC065A"/>
    <w:rsid w:val="00FC307A"/>
    <w:rsid w:val="00FC62BE"/>
    <w:rsid w:val="00FD6916"/>
    <w:rsid w:val="00FF4518"/>
    <w:rsid w:val="00FF78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94A"/>
    <w:rPr>
      <w:sz w:val="18"/>
      <w:lang w:val="en-GB"/>
    </w:rPr>
  </w:style>
  <w:style w:type="paragraph" w:styleId="Heading1">
    <w:name w:val="heading 1"/>
    <w:basedOn w:val="BoxTitle"/>
    <w:next w:val="Normal"/>
    <w:link w:val="Heading1Char"/>
    <w:qFormat/>
    <w:rsid w:val="007E4B8F"/>
    <w:pPr>
      <w:keepNext/>
      <w:tabs>
        <w:tab w:val="clear" w:pos="10132"/>
        <w:tab w:val="right" w:pos="10348"/>
      </w:tabs>
      <w:spacing w:before="240" w:after="120"/>
      <w:outlineLvl w:val="0"/>
    </w:pPr>
    <w:rPr>
      <w:bCs/>
      <w:color w:val="00408B"/>
      <w:sz w:val="24"/>
      <w:szCs w:val="24"/>
    </w:rPr>
  </w:style>
  <w:style w:type="paragraph" w:styleId="Heading2">
    <w:name w:val="heading 2"/>
    <w:basedOn w:val="Normal"/>
    <w:next w:val="Body"/>
    <w:link w:val="Heading2Char"/>
    <w:qFormat/>
    <w:rsid w:val="00952B70"/>
    <w:pPr>
      <w:keepNext/>
      <w:tabs>
        <w:tab w:val="left" w:pos="993"/>
      </w:tabs>
      <w:jc w:val="both"/>
      <w:outlineLvl w:val="1"/>
    </w:pPr>
    <w:rPr>
      <w:rFonts w:ascii="Arial" w:hAnsi="Arial" w:cs="Arial"/>
      <w:b/>
      <w:bCs/>
      <w:sz w:val="20"/>
    </w:rPr>
  </w:style>
  <w:style w:type="paragraph" w:styleId="Heading3">
    <w:name w:val="heading 3"/>
    <w:basedOn w:val="Normal"/>
    <w:next w:val="Normal"/>
    <w:link w:val="Heading3Char"/>
    <w:qFormat/>
    <w:rsid w:val="000956E6"/>
    <w:pPr>
      <w:keepNext/>
      <w:tabs>
        <w:tab w:val="left" w:pos="993"/>
      </w:tabs>
      <w:ind w:firstLine="720"/>
      <w:jc w:val="both"/>
      <w:outlineLvl w:val="2"/>
    </w:pPr>
    <w:rPr>
      <w:b/>
      <w:bCs/>
      <w:sz w:val="24"/>
      <w:szCs w:val="24"/>
    </w:rPr>
  </w:style>
  <w:style w:type="paragraph" w:styleId="Heading4">
    <w:name w:val="heading 4"/>
    <w:basedOn w:val="Normal"/>
    <w:next w:val="Normal"/>
    <w:link w:val="Heading4Char"/>
    <w:qFormat/>
    <w:rsid w:val="000956E6"/>
    <w:pPr>
      <w:keepNext/>
      <w:tabs>
        <w:tab w:val="center" w:pos="567"/>
      </w:tabs>
      <w:ind w:right="-1080"/>
      <w:outlineLvl w:val="3"/>
    </w:pPr>
    <w:rPr>
      <w:b/>
      <w:bCs/>
    </w:rPr>
  </w:style>
  <w:style w:type="paragraph" w:styleId="Heading5">
    <w:name w:val="heading 5"/>
    <w:basedOn w:val="Normal"/>
    <w:next w:val="Normal"/>
    <w:link w:val="Heading5Char"/>
    <w:qFormat/>
    <w:rsid w:val="000956E6"/>
    <w:pPr>
      <w:keepNext/>
      <w:outlineLvl w:val="4"/>
    </w:pPr>
    <w:rPr>
      <w:i/>
      <w:iCs/>
      <w:szCs w:val="18"/>
      <w:lang w:val="en-US"/>
    </w:rPr>
  </w:style>
  <w:style w:type="paragraph" w:styleId="Heading6">
    <w:name w:val="heading 6"/>
    <w:basedOn w:val="Normal"/>
    <w:next w:val="Normal"/>
    <w:link w:val="Heading6Char"/>
    <w:qFormat/>
    <w:rsid w:val="000956E6"/>
    <w:pPr>
      <w:keepNext/>
      <w:jc w:val="center"/>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4B8F"/>
    <w:rPr>
      <w:rFonts w:ascii="Arial" w:hAnsi="Arial" w:cs="Arial"/>
      <w:b/>
      <w:bCs/>
      <w:color w:val="00408B"/>
      <w:sz w:val="24"/>
      <w:szCs w:val="24"/>
      <w:lang w:val="en-GB" w:eastAsia="en-US" w:bidi="ar-SA"/>
    </w:rPr>
  </w:style>
  <w:style w:type="character" w:customStyle="1" w:styleId="Heading2Char">
    <w:name w:val="Heading 2 Char"/>
    <w:basedOn w:val="DefaultParagraphFont"/>
    <w:link w:val="Heading2"/>
    <w:semiHidden/>
    <w:rsid w:val="00952B70"/>
    <w:rPr>
      <w:rFonts w:ascii="Arial" w:hAnsi="Arial" w:cs="Arial"/>
      <w:b/>
      <w:bCs/>
      <w:lang w:val="en-GB" w:eastAsia="en-US" w:bidi="ar-SA"/>
    </w:rPr>
  </w:style>
  <w:style w:type="character" w:customStyle="1" w:styleId="Heading3Char">
    <w:name w:val="Heading 3 Char"/>
    <w:basedOn w:val="DefaultParagraphFont"/>
    <w:link w:val="Heading3"/>
    <w:semiHidden/>
    <w:rsid w:val="00FC62BE"/>
    <w:rPr>
      <w:rFonts w:ascii="Cambria" w:hAnsi="Cambria" w:cs="Cambria"/>
      <w:b/>
      <w:bCs/>
      <w:sz w:val="26"/>
      <w:szCs w:val="26"/>
      <w:lang w:val="en-GB"/>
    </w:rPr>
  </w:style>
  <w:style w:type="character" w:customStyle="1" w:styleId="Heading4Char">
    <w:name w:val="Heading 4 Char"/>
    <w:basedOn w:val="DefaultParagraphFont"/>
    <w:link w:val="Heading4"/>
    <w:semiHidden/>
    <w:rsid w:val="00FC62BE"/>
    <w:rPr>
      <w:rFonts w:ascii="Calibri" w:hAnsi="Calibri" w:cs="Calibri"/>
      <w:b/>
      <w:bCs/>
      <w:sz w:val="28"/>
      <w:szCs w:val="28"/>
      <w:lang w:val="en-GB"/>
    </w:rPr>
  </w:style>
  <w:style w:type="character" w:customStyle="1" w:styleId="Heading5Char">
    <w:name w:val="Heading 5 Char"/>
    <w:basedOn w:val="DefaultParagraphFont"/>
    <w:link w:val="Heading5"/>
    <w:semiHidden/>
    <w:rsid w:val="00FC62BE"/>
    <w:rPr>
      <w:rFonts w:ascii="Calibri" w:hAnsi="Calibri" w:cs="Calibri"/>
      <w:b/>
      <w:bCs/>
      <w:i/>
      <w:iCs/>
      <w:sz w:val="26"/>
      <w:szCs w:val="26"/>
      <w:lang w:val="en-GB"/>
    </w:rPr>
  </w:style>
  <w:style w:type="character" w:customStyle="1" w:styleId="Heading6Char">
    <w:name w:val="Heading 6 Char"/>
    <w:basedOn w:val="DefaultParagraphFont"/>
    <w:link w:val="Heading6"/>
    <w:semiHidden/>
    <w:rsid w:val="00FC62BE"/>
    <w:rPr>
      <w:rFonts w:ascii="Calibri" w:hAnsi="Calibri" w:cs="Calibri"/>
      <w:b/>
      <w:bCs/>
      <w:sz w:val="22"/>
      <w:szCs w:val="22"/>
      <w:lang w:val="en-GB"/>
    </w:rPr>
  </w:style>
  <w:style w:type="character" w:styleId="Hyperlink">
    <w:name w:val="Hyperlink"/>
    <w:uiPriority w:val="99"/>
    <w:rsid w:val="00490E0F"/>
    <w:rPr>
      <w:color w:val="0000FF"/>
      <w:u w:val="none"/>
    </w:rPr>
  </w:style>
  <w:style w:type="paragraph" w:styleId="Footer">
    <w:name w:val="footer"/>
    <w:basedOn w:val="Normal"/>
    <w:link w:val="FooterChar"/>
    <w:rsid w:val="000956E6"/>
    <w:pPr>
      <w:tabs>
        <w:tab w:val="center" w:pos="4320"/>
        <w:tab w:val="right" w:pos="8640"/>
      </w:tabs>
    </w:pPr>
  </w:style>
  <w:style w:type="character" w:customStyle="1" w:styleId="FooterChar">
    <w:name w:val="Footer Char"/>
    <w:basedOn w:val="DefaultParagraphFont"/>
    <w:link w:val="Footer"/>
    <w:semiHidden/>
    <w:rsid w:val="00FC62BE"/>
    <w:rPr>
      <w:lang w:val="en-GB"/>
    </w:rPr>
  </w:style>
  <w:style w:type="character" w:styleId="PageNumber">
    <w:name w:val="page number"/>
    <w:basedOn w:val="DefaultParagraphFont"/>
    <w:rsid w:val="00C84084"/>
    <w:rPr>
      <w:rFonts w:ascii="Arial" w:hAnsi="Arial"/>
      <w:sz w:val="18"/>
    </w:rPr>
  </w:style>
  <w:style w:type="paragraph" w:styleId="Header">
    <w:name w:val="header"/>
    <w:basedOn w:val="Normal"/>
    <w:link w:val="HeaderChar"/>
    <w:rsid w:val="000956E6"/>
    <w:pPr>
      <w:tabs>
        <w:tab w:val="center" w:pos="4320"/>
        <w:tab w:val="right" w:pos="8640"/>
      </w:tabs>
    </w:pPr>
  </w:style>
  <w:style w:type="character" w:customStyle="1" w:styleId="HeaderChar">
    <w:name w:val="Header Char"/>
    <w:basedOn w:val="DefaultParagraphFont"/>
    <w:link w:val="Header"/>
    <w:semiHidden/>
    <w:rsid w:val="00FC62BE"/>
    <w:rPr>
      <w:lang w:val="en-GB"/>
    </w:rPr>
  </w:style>
  <w:style w:type="paragraph" w:styleId="Title">
    <w:name w:val="Title"/>
    <w:basedOn w:val="Normal"/>
    <w:link w:val="TitleChar"/>
    <w:qFormat/>
    <w:rsid w:val="000956E6"/>
    <w:pPr>
      <w:jc w:val="center"/>
    </w:pPr>
    <w:rPr>
      <w:b/>
      <w:bCs/>
      <w:sz w:val="28"/>
      <w:szCs w:val="28"/>
    </w:rPr>
  </w:style>
  <w:style w:type="character" w:customStyle="1" w:styleId="TitleChar">
    <w:name w:val="Title Char"/>
    <w:basedOn w:val="DefaultParagraphFont"/>
    <w:link w:val="Title"/>
    <w:rsid w:val="00FC62BE"/>
    <w:rPr>
      <w:rFonts w:ascii="Cambria" w:hAnsi="Cambria" w:cs="Cambria"/>
      <w:b/>
      <w:bCs/>
      <w:kern w:val="28"/>
      <w:sz w:val="32"/>
      <w:szCs w:val="32"/>
      <w:lang w:val="en-GB"/>
    </w:rPr>
  </w:style>
  <w:style w:type="paragraph" w:styleId="DocumentMap">
    <w:name w:val="Document Map"/>
    <w:basedOn w:val="Normal"/>
    <w:link w:val="DocumentMapChar"/>
    <w:semiHidden/>
    <w:rsid w:val="000956E6"/>
    <w:pPr>
      <w:shd w:val="clear" w:color="auto" w:fill="000080"/>
    </w:pPr>
    <w:rPr>
      <w:rFonts w:ascii="Tahoma" w:hAnsi="Tahoma" w:cs="Tahoma"/>
    </w:rPr>
  </w:style>
  <w:style w:type="character" w:customStyle="1" w:styleId="DocumentMapChar">
    <w:name w:val="Document Map Char"/>
    <w:basedOn w:val="DefaultParagraphFont"/>
    <w:link w:val="DocumentMap"/>
    <w:semiHidden/>
    <w:rsid w:val="00FC62BE"/>
    <w:rPr>
      <w:sz w:val="2"/>
      <w:szCs w:val="2"/>
      <w:lang w:val="en-GB"/>
    </w:rPr>
  </w:style>
  <w:style w:type="paragraph" w:styleId="BalloonText">
    <w:name w:val="Balloon Text"/>
    <w:basedOn w:val="Normal"/>
    <w:link w:val="BalloonTextChar"/>
    <w:semiHidden/>
    <w:rsid w:val="00A1152D"/>
    <w:rPr>
      <w:rFonts w:ascii="Tahoma" w:hAnsi="Tahoma" w:cs="Tahoma"/>
      <w:sz w:val="16"/>
      <w:szCs w:val="16"/>
    </w:rPr>
  </w:style>
  <w:style w:type="character" w:customStyle="1" w:styleId="BalloonTextChar">
    <w:name w:val="Balloon Text Char"/>
    <w:basedOn w:val="DefaultParagraphFont"/>
    <w:link w:val="BalloonText"/>
    <w:semiHidden/>
    <w:rsid w:val="00FC62BE"/>
    <w:rPr>
      <w:sz w:val="2"/>
      <w:szCs w:val="2"/>
      <w:lang w:val="en-GB"/>
    </w:rPr>
  </w:style>
  <w:style w:type="table" w:styleId="TableGrid">
    <w:name w:val="Table Grid"/>
    <w:basedOn w:val="TableNormal"/>
    <w:rsid w:val="007F10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4D2246"/>
    <w:rPr>
      <w:color w:val="800080"/>
      <w:u w:val="single"/>
    </w:rPr>
  </w:style>
  <w:style w:type="character" w:customStyle="1" w:styleId="Instructions">
    <w:name w:val="Instructions"/>
    <w:rsid w:val="00DB585F"/>
    <w:rPr>
      <w:rFonts w:ascii="Times New Roman" w:hAnsi="Times New Roman"/>
      <w:i/>
      <w:color w:val="FF6969"/>
      <w:sz w:val="18"/>
      <w:szCs w:val="18"/>
    </w:rPr>
  </w:style>
  <w:style w:type="paragraph" w:customStyle="1" w:styleId="BoxTitle">
    <w:name w:val="BoxTitle"/>
    <w:basedOn w:val="Normal"/>
    <w:link w:val="BoxTitleChar"/>
    <w:rsid w:val="00CE6F4E"/>
    <w:pPr>
      <w:tabs>
        <w:tab w:val="right" w:pos="10132"/>
      </w:tabs>
    </w:pPr>
    <w:rPr>
      <w:rFonts w:ascii="Arial" w:hAnsi="Arial" w:cs="Arial"/>
      <w:b/>
      <w:color w:val="6DABD9"/>
      <w:szCs w:val="18"/>
    </w:rPr>
  </w:style>
  <w:style w:type="character" w:customStyle="1" w:styleId="BoxTitleChar">
    <w:name w:val="BoxTitle Char"/>
    <w:basedOn w:val="DefaultParagraphFont"/>
    <w:link w:val="BoxTitle"/>
    <w:rsid w:val="00CE6F4E"/>
    <w:rPr>
      <w:rFonts w:ascii="Arial" w:hAnsi="Arial" w:cs="Arial"/>
      <w:b/>
      <w:color w:val="6DABD9"/>
      <w:sz w:val="18"/>
      <w:szCs w:val="18"/>
      <w:lang w:val="en-GB" w:eastAsia="en-US" w:bidi="ar-SA"/>
    </w:rPr>
  </w:style>
  <w:style w:type="paragraph" w:customStyle="1" w:styleId="Response">
    <w:name w:val="Response"/>
    <w:basedOn w:val="Normal"/>
    <w:rsid w:val="00CE6F4E"/>
    <w:rPr>
      <w:rFonts w:ascii="Arial" w:hAnsi="Arial"/>
      <w:b/>
      <w:sz w:val="22"/>
      <w:szCs w:val="22"/>
    </w:rPr>
  </w:style>
  <w:style w:type="paragraph" w:customStyle="1" w:styleId="SectionHead">
    <w:name w:val="SectionHead"/>
    <w:basedOn w:val="BoxTitle"/>
    <w:rsid w:val="00D95EE7"/>
    <w:pPr>
      <w:keepNext/>
      <w:keepLines/>
      <w:tabs>
        <w:tab w:val="clear" w:pos="10132"/>
        <w:tab w:val="right" w:pos="10348"/>
      </w:tabs>
      <w:jc w:val="both"/>
    </w:pPr>
    <w:rPr>
      <w:bCs/>
      <w:color w:val="00408B"/>
      <w:sz w:val="22"/>
      <w:szCs w:val="22"/>
    </w:rPr>
  </w:style>
  <w:style w:type="paragraph" w:customStyle="1" w:styleId="TableHead">
    <w:name w:val="TableHead"/>
    <w:basedOn w:val="BoxTitle"/>
    <w:link w:val="TableHeadChar"/>
    <w:rsid w:val="007E4B8F"/>
    <w:rPr>
      <w:color w:val="00408B"/>
    </w:rPr>
  </w:style>
  <w:style w:type="character" w:styleId="PlaceholderText">
    <w:name w:val="Placeholder Text"/>
    <w:basedOn w:val="DefaultParagraphFont"/>
    <w:uiPriority w:val="99"/>
    <w:semiHidden/>
    <w:rsid w:val="000A15BE"/>
    <w:rPr>
      <w:color w:val="808080"/>
    </w:rPr>
  </w:style>
  <w:style w:type="paragraph" w:customStyle="1" w:styleId="Spacer">
    <w:name w:val="Spacer"/>
    <w:basedOn w:val="Normal"/>
    <w:rsid w:val="002635D6"/>
    <w:rPr>
      <w:sz w:val="6"/>
    </w:rPr>
  </w:style>
  <w:style w:type="paragraph" w:customStyle="1" w:styleId="Responsebudget">
    <w:name w:val="Response budget"/>
    <w:basedOn w:val="Response"/>
    <w:rsid w:val="007D4D00"/>
    <w:pPr>
      <w:jc w:val="right"/>
    </w:pPr>
    <w:rPr>
      <w:rFonts w:cs="Arial"/>
      <w:sz w:val="18"/>
      <w:szCs w:val="18"/>
    </w:rPr>
  </w:style>
  <w:style w:type="paragraph" w:customStyle="1" w:styleId="Responsebudgetitem">
    <w:name w:val="Response budget item"/>
    <w:basedOn w:val="Responsebudget"/>
    <w:rsid w:val="005A3620"/>
    <w:pPr>
      <w:ind w:left="267"/>
      <w:jc w:val="left"/>
    </w:pPr>
  </w:style>
  <w:style w:type="character" w:customStyle="1" w:styleId="TableHeadChar">
    <w:name w:val="TableHead Char"/>
    <w:basedOn w:val="BoxTitleChar"/>
    <w:link w:val="TableHead"/>
    <w:rsid w:val="009543F7"/>
    <w:rPr>
      <w:color w:val="00408B"/>
    </w:rPr>
  </w:style>
  <w:style w:type="paragraph" w:customStyle="1" w:styleId="Responsefree">
    <w:name w:val="Response free"/>
    <w:basedOn w:val="Response"/>
    <w:rsid w:val="00490E0F"/>
    <w:pPr>
      <w:spacing w:before="120" w:after="120"/>
    </w:pPr>
    <w:rPr>
      <w:rFonts w:ascii="Times New Roman" w:hAnsi="Times New Roman"/>
      <w:b w:val="0"/>
    </w:rPr>
  </w:style>
  <w:style w:type="paragraph" w:customStyle="1" w:styleId="Body">
    <w:name w:val="Body"/>
    <w:basedOn w:val="Normal"/>
    <w:rsid w:val="0058543C"/>
    <w:pPr>
      <w:spacing w:after="120"/>
      <w:jc w:val="both"/>
    </w:pPr>
    <w:rPr>
      <w:rFonts w:ascii="Arial" w:hAnsi="Arial" w:cs="Arial"/>
      <w:sz w:val="20"/>
    </w:rPr>
  </w:style>
  <w:style w:type="paragraph" w:styleId="FootnoteText">
    <w:name w:val="footnote text"/>
    <w:basedOn w:val="Normal"/>
    <w:semiHidden/>
    <w:rsid w:val="009543F7"/>
    <w:rPr>
      <w:rFonts w:cs="Arial"/>
      <w:sz w:val="20"/>
      <w:lang w:val="en-US"/>
    </w:rPr>
  </w:style>
  <w:style w:type="character" w:styleId="FootnoteReference">
    <w:name w:val="footnote reference"/>
    <w:basedOn w:val="DefaultParagraphFont"/>
    <w:semiHidden/>
    <w:rsid w:val="009543F7"/>
    <w:rPr>
      <w:vertAlign w:val="superscript"/>
    </w:rPr>
  </w:style>
  <w:style w:type="paragraph" w:customStyle="1" w:styleId="BulletList">
    <w:name w:val="BulletList"/>
    <w:basedOn w:val="Body"/>
    <w:rsid w:val="009543F7"/>
    <w:pPr>
      <w:numPr>
        <w:numId w:val="2"/>
      </w:numPr>
    </w:pPr>
  </w:style>
  <w:style w:type="paragraph" w:customStyle="1" w:styleId="CharChar">
    <w:name w:val="Char Char"/>
    <w:basedOn w:val="Normal"/>
    <w:rsid w:val="006F56B9"/>
    <w:pPr>
      <w:spacing w:after="160" w:line="240" w:lineRule="exact"/>
    </w:pPr>
    <w:rPr>
      <w:rFonts w:ascii="Arial" w:hAnsi="Arial" w:cs="Arial"/>
      <w:sz w:val="20"/>
      <w:lang w:val="en-US"/>
    </w:rPr>
  </w:style>
  <w:style w:type="paragraph" w:styleId="TOCHeading">
    <w:name w:val="TOC Heading"/>
    <w:basedOn w:val="Heading1"/>
    <w:next w:val="Normal"/>
    <w:uiPriority w:val="39"/>
    <w:semiHidden/>
    <w:unhideWhenUsed/>
    <w:qFormat/>
    <w:rsid w:val="006F56B9"/>
    <w:pPr>
      <w:keepLines/>
      <w:tabs>
        <w:tab w:val="clear" w:pos="10348"/>
      </w:tabs>
      <w:spacing w:before="480" w:after="0" w:line="276" w:lineRule="auto"/>
      <w:outlineLvl w:val="9"/>
    </w:pPr>
    <w:rPr>
      <w:rFonts w:asciiTheme="majorHAnsi" w:eastAsiaTheme="majorEastAsia" w:hAnsiTheme="majorHAnsi" w:cstheme="majorBidi"/>
      <w:color w:val="365F91" w:themeColor="accent1" w:themeShade="BF"/>
      <w:sz w:val="28"/>
      <w:szCs w:val="28"/>
      <w:lang w:val="en-US"/>
    </w:rPr>
  </w:style>
  <w:style w:type="paragraph" w:styleId="TOC1">
    <w:name w:val="toc 1"/>
    <w:basedOn w:val="Normal"/>
    <w:next w:val="Normal"/>
    <w:autoRedefine/>
    <w:uiPriority w:val="39"/>
    <w:unhideWhenUsed/>
    <w:rsid w:val="006F56B9"/>
    <w:pPr>
      <w:spacing w:after="100"/>
    </w:pPr>
  </w:style>
  <w:style w:type="paragraph" w:styleId="TOC2">
    <w:name w:val="toc 2"/>
    <w:basedOn w:val="Normal"/>
    <w:next w:val="Normal"/>
    <w:autoRedefine/>
    <w:uiPriority w:val="39"/>
    <w:unhideWhenUsed/>
    <w:rsid w:val="006F56B9"/>
    <w:pPr>
      <w:spacing w:after="100"/>
      <w:ind w:left="180"/>
    </w:pPr>
  </w:style>
  <w:style w:type="character" w:styleId="CommentReference">
    <w:name w:val="annotation reference"/>
    <w:basedOn w:val="DefaultParagraphFont"/>
    <w:semiHidden/>
    <w:rsid w:val="00DC0371"/>
    <w:rPr>
      <w:sz w:val="16"/>
      <w:szCs w:val="16"/>
    </w:rPr>
  </w:style>
  <w:style w:type="paragraph" w:styleId="CommentText">
    <w:name w:val="annotation text"/>
    <w:basedOn w:val="Normal"/>
    <w:link w:val="CommentTextChar"/>
    <w:semiHidden/>
    <w:rsid w:val="00DC0371"/>
    <w:pPr>
      <w:widowControl w:val="0"/>
    </w:pPr>
    <w:rPr>
      <w:snapToGrid w:val="0"/>
      <w:sz w:val="20"/>
      <w:lang w:val="en-US"/>
    </w:rPr>
  </w:style>
  <w:style w:type="character" w:customStyle="1" w:styleId="CommentTextChar">
    <w:name w:val="Comment Text Char"/>
    <w:basedOn w:val="DefaultParagraphFont"/>
    <w:link w:val="CommentText"/>
    <w:semiHidden/>
    <w:rsid w:val="00DC0371"/>
    <w:rPr>
      <w:snapToGrid w:val="0"/>
    </w:rPr>
  </w:style>
  <w:style w:type="paragraph" w:styleId="ListParagraph">
    <w:name w:val="List Paragraph"/>
    <w:basedOn w:val="Normal"/>
    <w:uiPriority w:val="34"/>
    <w:qFormat/>
    <w:rsid w:val="00D529D1"/>
    <w:pPr>
      <w:ind w:left="720"/>
      <w:contextualSpacing/>
    </w:pPr>
  </w:style>
  <w:style w:type="paragraph" w:customStyle="1" w:styleId="a">
    <w:name w:val="_"/>
    <w:basedOn w:val="Normal"/>
    <w:rsid w:val="00E6517E"/>
    <w:pPr>
      <w:widowControl w:val="0"/>
      <w:ind w:left="936" w:hanging="216"/>
    </w:pPr>
    <w:rPr>
      <w:snapToGrid w:val="0"/>
      <w:sz w:val="24"/>
      <w:lang w:val="en-US"/>
    </w:rPr>
  </w:style>
  <w:style w:type="paragraph" w:styleId="BlockText">
    <w:name w:val="Block Text"/>
    <w:basedOn w:val="Normal"/>
    <w:rsid w:val="0015500F"/>
    <w:pPr>
      <w:widowControl w:val="0"/>
      <w:tabs>
        <w:tab w:val="left" w:pos="-1440"/>
      </w:tabs>
      <w:ind w:left="1440" w:right="945" w:hanging="720"/>
      <w:jc w:val="both"/>
    </w:pPr>
    <w:rPr>
      <w:rFonts w:ascii="Arial" w:hAnsi="Arial"/>
      <w:snapToGrid w:val="0"/>
      <w:sz w:val="20"/>
    </w:rPr>
  </w:style>
  <w:style w:type="paragraph" w:styleId="BodyTextIndent">
    <w:name w:val="Body Text Indent"/>
    <w:basedOn w:val="Normal"/>
    <w:link w:val="BodyTextIndentChar"/>
    <w:rsid w:val="00F51C80"/>
    <w:pPr>
      <w:widowControl w:val="0"/>
      <w:tabs>
        <w:tab w:val="left" w:pos="-1094"/>
        <w:tab w:val="left" w:pos="-720"/>
        <w:tab w:val="left" w:pos="0"/>
        <w:tab w:val="left" w:pos="540"/>
        <w:tab w:val="left" w:pos="990"/>
        <w:tab w:val="left" w:pos="2160"/>
      </w:tabs>
      <w:ind w:left="540" w:hanging="540"/>
      <w:jc w:val="both"/>
    </w:pPr>
    <w:rPr>
      <w:rFonts w:ascii="Arial" w:hAnsi="Arial"/>
      <w:snapToGrid w:val="0"/>
      <w:sz w:val="20"/>
    </w:rPr>
  </w:style>
  <w:style w:type="character" w:customStyle="1" w:styleId="BodyTextIndentChar">
    <w:name w:val="Body Text Indent Char"/>
    <w:basedOn w:val="DefaultParagraphFont"/>
    <w:link w:val="BodyTextIndent"/>
    <w:rsid w:val="00F51C80"/>
    <w:rPr>
      <w:rFonts w:ascii="Arial" w:hAnsi="Arial"/>
      <w:snapToGrid w:val="0"/>
      <w:lang w:val="en-GB"/>
    </w:rPr>
  </w:style>
  <w:style w:type="paragraph" w:styleId="BodyText">
    <w:name w:val="Body Text"/>
    <w:basedOn w:val="Normal"/>
    <w:link w:val="BodyTextChar"/>
    <w:rsid w:val="00F51C80"/>
    <w:pPr>
      <w:widowControl w:val="0"/>
      <w:tabs>
        <w:tab w:val="left" w:pos="-1094"/>
        <w:tab w:val="left" w:pos="-720"/>
        <w:tab w:val="left" w:pos="0"/>
        <w:tab w:val="left" w:pos="540"/>
        <w:tab w:val="left" w:pos="990"/>
        <w:tab w:val="left" w:pos="2160"/>
      </w:tabs>
      <w:jc w:val="both"/>
    </w:pPr>
    <w:rPr>
      <w:rFonts w:ascii="Arial" w:hAnsi="Arial"/>
      <w:snapToGrid w:val="0"/>
      <w:sz w:val="20"/>
    </w:rPr>
  </w:style>
  <w:style w:type="character" w:customStyle="1" w:styleId="BodyTextChar">
    <w:name w:val="Body Text Char"/>
    <w:basedOn w:val="DefaultParagraphFont"/>
    <w:link w:val="BodyText"/>
    <w:rsid w:val="00F51C80"/>
    <w:rPr>
      <w:rFonts w:ascii="Arial" w:hAnsi="Arial"/>
      <w:snapToGrid w:val="0"/>
      <w:lang w:val="en-GB"/>
    </w:rPr>
  </w:style>
  <w:style w:type="paragraph" w:styleId="BodyTextIndent2">
    <w:name w:val="Body Text Indent 2"/>
    <w:basedOn w:val="Normal"/>
    <w:link w:val="BodyTextIndent2Char"/>
    <w:rsid w:val="00F51C80"/>
    <w:pPr>
      <w:widowControl w:val="0"/>
      <w:tabs>
        <w:tab w:val="left" w:pos="-1094"/>
        <w:tab w:val="left" w:pos="-720"/>
        <w:tab w:val="left" w:pos="0"/>
        <w:tab w:val="left" w:pos="540"/>
        <w:tab w:val="left" w:pos="1440"/>
      </w:tabs>
      <w:spacing w:after="120"/>
      <w:ind w:left="540"/>
      <w:jc w:val="both"/>
    </w:pPr>
    <w:rPr>
      <w:rFonts w:ascii="Arial" w:hAnsi="Arial"/>
      <w:snapToGrid w:val="0"/>
      <w:sz w:val="20"/>
    </w:rPr>
  </w:style>
  <w:style w:type="character" w:customStyle="1" w:styleId="BodyTextIndent2Char">
    <w:name w:val="Body Text Indent 2 Char"/>
    <w:basedOn w:val="DefaultParagraphFont"/>
    <w:link w:val="BodyTextIndent2"/>
    <w:rsid w:val="00F51C80"/>
    <w:rPr>
      <w:rFonts w:ascii="Arial" w:hAnsi="Arial"/>
      <w:snapToGrid w:val="0"/>
      <w:lang w:val="en-GB"/>
    </w:rPr>
  </w:style>
  <w:style w:type="paragraph" w:styleId="BodyTextIndent3">
    <w:name w:val="Body Text Indent 3"/>
    <w:basedOn w:val="Normal"/>
    <w:link w:val="BodyTextIndent3Char"/>
    <w:rsid w:val="00F51C80"/>
    <w:pPr>
      <w:widowControl w:val="0"/>
      <w:tabs>
        <w:tab w:val="left" w:pos="-1094"/>
        <w:tab w:val="left" w:pos="-720"/>
        <w:tab w:val="left" w:pos="0"/>
        <w:tab w:val="left" w:pos="540"/>
        <w:tab w:val="left" w:pos="990"/>
        <w:tab w:val="left" w:pos="2160"/>
      </w:tabs>
      <w:spacing w:after="120"/>
      <w:ind w:left="990" w:hanging="450"/>
      <w:jc w:val="both"/>
    </w:pPr>
    <w:rPr>
      <w:rFonts w:ascii="Arial" w:hAnsi="Arial"/>
      <w:snapToGrid w:val="0"/>
      <w:sz w:val="20"/>
    </w:rPr>
  </w:style>
  <w:style w:type="character" w:customStyle="1" w:styleId="BodyTextIndent3Char">
    <w:name w:val="Body Text Indent 3 Char"/>
    <w:basedOn w:val="DefaultParagraphFont"/>
    <w:link w:val="BodyTextIndent3"/>
    <w:rsid w:val="00F51C80"/>
    <w:rPr>
      <w:rFonts w:ascii="Arial" w:hAnsi="Arial"/>
      <w:snapToGrid w:val="0"/>
      <w:lang w:val="en-GB"/>
    </w:rPr>
  </w:style>
</w:styles>
</file>

<file path=word/webSettings.xml><?xml version="1.0" encoding="utf-8"?>
<w:webSettings xmlns:r="http://schemas.openxmlformats.org/officeDocument/2006/relationships" xmlns:w="http://schemas.openxmlformats.org/wordprocessingml/2006/main">
  <w:divs>
    <w:div w:id="30343298">
      <w:bodyDiv w:val="1"/>
      <w:marLeft w:val="0"/>
      <w:marRight w:val="0"/>
      <w:marTop w:val="0"/>
      <w:marBottom w:val="0"/>
      <w:divBdr>
        <w:top w:val="none" w:sz="0" w:space="0" w:color="auto"/>
        <w:left w:val="none" w:sz="0" w:space="0" w:color="auto"/>
        <w:bottom w:val="none" w:sz="0" w:space="0" w:color="auto"/>
        <w:right w:val="none" w:sz="0" w:space="0" w:color="auto"/>
      </w:divBdr>
    </w:div>
    <w:div w:id="868642253">
      <w:bodyDiv w:val="1"/>
      <w:marLeft w:val="0"/>
      <w:marRight w:val="0"/>
      <w:marTop w:val="0"/>
      <w:marBottom w:val="0"/>
      <w:divBdr>
        <w:top w:val="none" w:sz="0" w:space="0" w:color="auto"/>
        <w:left w:val="none" w:sz="0" w:space="0" w:color="auto"/>
        <w:bottom w:val="none" w:sz="0" w:space="0" w:color="auto"/>
        <w:right w:val="none" w:sz="0" w:space="0" w:color="auto"/>
      </w:divBdr>
    </w:div>
    <w:div w:id="1522278212">
      <w:bodyDiv w:val="1"/>
      <w:marLeft w:val="0"/>
      <w:marRight w:val="0"/>
      <w:marTop w:val="0"/>
      <w:marBottom w:val="0"/>
      <w:divBdr>
        <w:top w:val="none" w:sz="0" w:space="0" w:color="auto"/>
        <w:left w:val="none" w:sz="0" w:space="0" w:color="auto"/>
        <w:bottom w:val="none" w:sz="0" w:space="0" w:color="auto"/>
        <w:right w:val="none" w:sz="0" w:space="0" w:color="auto"/>
      </w:divBdr>
      <w:divsChild>
        <w:div w:id="877353038">
          <w:marLeft w:val="0"/>
          <w:marRight w:val="0"/>
          <w:marTop w:val="86"/>
          <w:marBottom w:val="0"/>
          <w:divBdr>
            <w:top w:val="single" w:sz="6" w:space="4" w:color="666666"/>
            <w:left w:val="none" w:sz="0" w:space="0" w:color="auto"/>
            <w:bottom w:val="none" w:sz="0" w:space="0" w:color="auto"/>
            <w:right w:val="none" w:sz="0" w:space="0" w:color="auto"/>
          </w:divBdr>
        </w:div>
      </w:divsChild>
    </w:div>
    <w:div w:id="191504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ato.int/science"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sps.applications@hq.nato.int?subject=ARW%20application" TargetMode="Externa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to.int/science"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hyperlink" Target="http://www.nato.int/scienc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nato.int/science" TargetMode="External"/><Relationship Id="rId14" Type="http://schemas.openxmlformats.org/officeDocument/2006/relationships/hyperlink" Target="http://www.nato.int/science" TargetMode="Externa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35067-EC8F-4E73-8B56-663AD0372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5785</Words>
  <Characters>33070</Characters>
  <Application>Microsoft Office Word</Application>
  <DocSecurity>4</DocSecurity>
  <Lines>275</Lines>
  <Paragraphs>77</Paragraphs>
  <ScaleCrop>false</ScaleCrop>
  <Company/>
  <LinksUpToDate>false</LinksUpToDate>
  <CharactersWithSpaces>38778</CharactersWithSpaces>
  <SharedDoc>false</SharedDoc>
  <HLinks>
    <vt:vector size="72" baseType="variant">
      <vt:variant>
        <vt:i4>2424952</vt:i4>
      </vt:variant>
      <vt:variant>
        <vt:i4>33</vt:i4>
      </vt:variant>
      <vt:variant>
        <vt:i4>0</vt:i4>
      </vt:variant>
      <vt:variant>
        <vt:i4>5</vt:i4>
      </vt:variant>
      <vt:variant>
        <vt:lpwstr/>
      </vt:variant>
      <vt:variant>
        <vt:lpwstr>Annex1KeyPriorities</vt:lpwstr>
      </vt:variant>
      <vt:variant>
        <vt:i4>2424952</vt:i4>
      </vt:variant>
      <vt:variant>
        <vt:i4>30</vt:i4>
      </vt:variant>
      <vt:variant>
        <vt:i4>0</vt:i4>
      </vt:variant>
      <vt:variant>
        <vt:i4>5</vt:i4>
      </vt:variant>
      <vt:variant>
        <vt:lpwstr/>
      </vt:variant>
      <vt:variant>
        <vt:lpwstr>Annex1KeyPriorities</vt:lpwstr>
      </vt:variant>
      <vt:variant>
        <vt:i4>1507362</vt:i4>
      </vt:variant>
      <vt:variant>
        <vt:i4>27</vt:i4>
      </vt:variant>
      <vt:variant>
        <vt:i4>0</vt:i4>
      </vt:variant>
      <vt:variant>
        <vt:i4>5</vt:i4>
      </vt:variant>
      <vt:variant>
        <vt:lpwstr>mailto:sps.applications@hq.nato.int</vt:lpwstr>
      </vt:variant>
      <vt:variant>
        <vt:lpwstr/>
      </vt:variant>
      <vt:variant>
        <vt:i4>2228341</vt:i4>
      </vt:variant>
      <vt:variant>
        <vt:i4>24</vt:i4>
      </vt:variant>
      <vt:variant>
        <vt:i4>0</vt:i4>
      </vt:variant>
      <vt:variant>
        <vt:i4>5</vt:i4>
      </vt:variant>
      <vt:variant>
        <vt:lpwstr/>
      </vt:variant>
      <vt:variant>
        <vt:lpwstr>Annex3EligibleCountries</vt:lpwstr>
      </vt:variant>
      <vt:variant>
        <vt:i4>3866679</vt:i4>
      </vt:variant>
      <vt:variant>
        <vt:i4>21</vt:i4>
      </vt:variant>
      <vt:variant>
        <vt:i4>0</vt:i4>
      </vt:variant>
      <vt:variant>
        <vt:i4>5</vt:i4>
      </vt:variant>
      <vt:variant>
        <vt:lpwstr>http://www.nato.int/science</vt:lpwstr>
      </vt:variant>
      <vt:variant>
        <vt:lpwstr/>
      </vt:variant>
      <vt:variant>
        <vt:i4>5570568</vt:i4>
      </vt:variant>
      <vt:variant>
        <vt:i4>18</vt:i4>
      </vt:variant>
      <vt:variant>
        <vt:i4>0</vt:i4>
      </vt:variant>
      <vt:variant>
        <vt:i4>5</vt:i4>
      </vt:variant>
      <vt:variant>
        <vt:lpwstr/>
      </vt:variant>
      <vt:variant>
        <vt:lpwstr>Annex4ProjectProposal</vt:lpwstr>
      </vt:variant>
      <vt:variant>
        <vt:i4>5570568</vt:i4>
      </vt:variant>
      <vt:variant>
        <vt:i4>15</vt:i4>
      </vt:variant>
      <vt:variant>
        <vt:i4>0</vt:i4>
      </vt:variant>
      <vt:variant>
        <vt:i4>5</vt:i4>
      </vt:variant>
      <vt:variant>
        <vt:lpwstr/>
      </vt:variant>
      <vt:variant>
        <vt:lpwstr>Annex4ProjectProposal</vt:lpwstr>
      </vt:variant>
      <vt:variant>
        <vt:i4>2228341</vt:i4>
      </vt:variant>
      <vt:variant>
        <vt:i4>12</vt:i4>
      </vt:variant>
      <vt:variant>
        <vt:i4>0</vt:i4>
      </vt:variant>
      <vt:variant>
        <vt:i4>5</vt:i4>
      </vt:variant>
      <vt:variant>
        <vt:lpwstr/>
      </vt:variant>
      <vt:variant>
        <vt:lpwstr>Annex3EligibleCountries</vt:lpwstr>
      </vt:variant>
      <vt:variant>
        <vt:i4>4587542</vt:i4>
      </vt:variant>
      <vt:variant>
        <vt:i4>9</vt:i4>
      </vt:variant>
      <vt:variant>
        <vt:i4>0</vt:i4>
      </vt:variant>
      <vt:variant>
        <vt:i4>5</vt:i4>
      </vt:variant>
      <vt:variant>
        <vt:lpwstr/>
      </vt:variant>
      <vt:variant>
        <vt:lpwstr>Annex2Funding</vt:lpwstr>
      </vt:variant>
      <vt:variant>
        <vt:i4>2424952</vt:i4>
      </vt:variant>
      <vt:variant>
        <vt:i4>6</vt:i4>
      </vt:variant>
      <vt:variant>
        <vt:i4>0</vt:i4>
      </vt:variant>
      <vt:variant>
        <vt:i4>5</vt:i4>
      </vt:variant>
      <vt:variant>
        <vt:lpwstr/>
      </vt:variant>
      <vt:variant>
        <vt:lpwstr>Annex1KeyPriorities</vt:lpwstr>
      </vt:variant>
      <vt:variant>
        <vt:i4>3866679</vt:i4>
      </vt:variant>
      <vt:variant>
        <vt:i4>3</vt:i4>
      </vt:variant>
      <vt:variant>
        <vt:i4>0</vt:i4>
      </vt:variant>
      <vt:variant>
        <vt:i4>5</vt:i4>
      </vt:variant>
      <vt:variant>
        <vt:lpwstr>http://www.nato.int/science</vt:lpwstr>
      </vt:variant>
      <vt:variant>
        <vt:lpwstr/>
      </vt:variant>
      <vt:variant>
        <vt:i4>2424952</vt:i4>
      </vt:variant>
      <vt:variant>
        <vt:i4>0</vt:i4>
      </vt:variant>
      <vt:variant>
        <vt:i4>0</vt:i4>
      </vt:variant>
      <vt:variant>
        <vt:i4>5</vt:i4>
      </vt:variant>
      <vt:variant>
        <vt:lpwstr/>
      </vt:variant>
      <vt:variant>
        <vt:lpwstr>Annex1KeyPriorities</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2013-06-14T09:12:00Z</dcterms:created>
  <dcterms:modified xsi:type="dcterms:W3CDTF">2013-06-14T09:12:00Z</dcterms:modified>
</cp:coreProperties>
</file>