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D987" w14:textId="77777777" w:rsidR="00541AE3" w:rsidRDefault="00000000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DQB/FCUL</w:t>
      </w:r>
    </w:p>
    <w:p w14:paraId="0BE2FE57" w14:textId="77777777" w:rsidR="00541AE3" w:rsidRDefault="00000000">
      <w:pPr>
        <w:spacing w:line="276" w:lineRule="auto"/>
        <w:jc w:val="center"/>
      </w:pPr>
      <w:r>
        <w:rPr>
          <w:rFonts w:ascii="Calibri" w:hAnsi="Calibri" w:cs="Calibri"/>
          <w:b/>
          <w:bCs/>
          <w:sz w:val="24"/>
          <w:szCs w:val="24"/>
        </w:rPr>
        <w:t>A importância da atividade experimental no ensino da Química: um processo de ensino- aprendizagem</w:t>
      </w:r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color w:val="333333"/>
          <w:sz w:val="24"/>
          <w:szCs w:val="24"/>
          <w:lang w:eastAsia="pt-PT"/>
        </w:rPr>
        <w:t>CCPFC/ACC-118288/22)</w:t>
      </w:r>
    </w:p>
    <w:p w14:paraId="1E441178" w14:textId="77777777" w:rsidR="00541AE3" w:rsidRDefault="00541AE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345EF579" w14:textId="77777777" w:rsidR="00541AE3" w:rsidRDefault="00000000">
      <w:pPr>
        <w:shd w:val="clear" w:color="auto" w:fill="FFFFFF"/>
        <w:suppressAutoHyphens w:val="0"/>
        <w:textAlignment w:val="baseline"/>
      </w:pPr>
      <w:r>
        <w:rPr>
          <w:rFonts w:ascii="Calibri" w:hAnsi="Calibri" w:cs="Calibri"/>
          <w:b/>
          <w:bCs/>
          <w:color w:val="333333"/>
          <w:sz w:val="24"/>
          <w:szCs w:val="24"/>
          <w:lang w:eastAsia="pt-PT"/>
        </w:rPr>
        <w:t>Responsável:</w:t>
      </w:r>
      <w:r>
        <w:rPr>
          <w:rFonts w:ascii="Calibri" w:hAnsi="Calibri" w:cs="Calibri"/>
          <w:color w:val="333333"/>
          <w:sz w:val="24"/>
          <w:szCs w:val="24"/>
          <w:lang w:eastAsia="pt-PT"/>
        </w:rPr>
        <w:t xml:space="preserve"> Susana Pina Santos</w:t>
      </w:r>
    </w:p>
    <w:p w14:paraId="39FBE45F" w14:textId="77777777" w:rsidR="00541AE3" w:rsidRDefault="00541AE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0F74D9F2" w14:textId="77777777" w:rsidR="00541AE3" w:rsidRDefault="0000000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Calendarização</w:t>
      </w:r>
    </w:p>
    <w:tbl>
      <w:tblPr>
        <w:tblW w:w="87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0"/>
        <w:gridCol w:w="6422"/>
        <w:gridCol w:w="979"/>
      </w:tblGrid>
      <w:tr w:rsidR="00A7598C" w14:paraId="49F7183D" w14:textId="77777777" w:rsidTr="00E02683">
        <w:tc>
          <w:tcPr>
            <w:tcW w:w="1370" w:type="dxa"/>
            <w:tcBorders>
              <w:top w:val="single" w:sz="12" w:space="0" w:color="156082"/>
              <w:left w:val="single" w:sz="12" w:space="0" w:color="156082"/>
              <w:bottom w:val="single" w:sz="4" w:space="0" w:color="156082"/>
              <w:right w:val="single" w:sz="4" w:space="0" w:color="156082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3FD5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de-DE"/>
              </w:rPr>
              <w:t>Data/ hora</w:t>
            </w:r>
          </w:p>
        </w:tc>
        <w:tc>
          <w:tcPr>
            <w:tcW w:w="6422" w:type="dxa"/>
            <w:tcBorders>
              <w:top w:val="single" w:sz="12" w:space="0" w:color="156082"/>
              <w:left w:val="single" w:sz="4" w:space="0" w:color="156082"/>
              <w:bottom w:val="single" w:sz="4" w:space="0" w:color="156082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AF7D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de-DE"/>
              </w:rPr>
              <w:t>Trabalho</w:t>
            </w:r>
          </w:p>
        </w:tc>
        <w:tc>
          <w:tcPr>
            <w:tcW w:w="979" w:type="dxa"/>
            <w:tcBorders>
              <w:top w:val="single" w:sz="12" w:space="0" w:color="156082"/>
              <w:bottom w:val="single" w:sz="4" w:space="0" w:color="156082"/>
              <w:right w:val="single" w:sz="12" w:space="0" w:color="156082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117A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de-DE"/>
              </w:rPr>
              <w:t>Duração</w:t>
            </w:r>
          </w:p>
        </w:tc>
      </w:tr>
      <w:tr w:rsidR="00A7598C" w14:paraId="43420DF8" w14:textId="77777777" w:rsidTr="00E02683">
        <w:tc>
          <w:tcPr>
            <w:tcW w:w="1370" w:type="dxa"/>
            <w:tcBorders>
              <w:top w:val="single" w:sz="4" w:space="0" w:color="156082"/>
              <w:left w:val="single" w:sz="12" w:space="0" w:color="156082"/>
              <w:bottom w:val="single" w:sz="12" w:space="0" w:color="156082"/>
              <w:right w:val="single" w:sz="4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A85D" w14:textId="77777777" w:rsidR="00A7598C" w:rsidRDefault="00A7598C" w:rsidP="00646A40">
            <w:pPr>
              <w:jc w:val="center"/>
            </w:pPr>
            <w:r w:rsidRPr="00805F9B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18/06/2024</w:t>
            </w:r>
          </w:p>
        </w:tc>
        <w:tc>
          <w:tcPr>
            <w:tcW w:w="6422" w:type="dxa"/>
            <w:tcBorders>
              <w:top w:val="single" w:sz="4" w:space="0" w:color="156082"/>
              <w:left w:val="single" w:sz="4" w:space="0" w:color="156082"/>
              <w:bottom w:val="single" w:sz="12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D2AD" w14:textId="77777777" w:rsidR="00A7598C" w:rsidRDefault="00A7598C" w:rsidP="00646A40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Apresentação</w:t>
            </w:r>
          </w:p>
        </w:tc>
        <w:tc>
          <w:tcPr>
            <w:tcW w:w="979" w:type="dxa"/>
            <w:tcBorders>
              <w:top w:val="single" w:sz="4" w:space="0" w:color="156082"/>
              <w:bottom w:val="single" w:sz="12" w:space="0" w:color="156082"/>
              <w:right w:val="single" w:sz="12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F6FD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1h</w:t>
            </w:r>
          </w:p>
        </w:tc>
      </w:tr>
      <w:tr w:rsidR="00A7598C" w14:paraId="39693474" w14:textId="77777777" w:rsidTr="00E02683">
        <w:trPr>
          <w:trHeight w:val="624"/>
        </w:trPr>
        <w:tc>
          <w:tcPr>
            <w:tcW w:w="1370" w:type="dxa"/>
            <w:tcBorders>
              <w:top w:val="single" w:sz="12" w:space="0" w:color="156082"/>
              <w:left w:val="single" w:sz="12" w:space="0" w:color="156082"/>
              <w:bottom w:val="single" w:sz="4" w:space="0" w:color="45B0E1"/>
              <w:right w:val="single" w:sz="4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B690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20/06/2024</w:t>
            </w:r>
          </w:p>
          <w:p w14:paraId="2D4E997D" w14:textId="77777777" w:rsidR="00A7598C" w:rsidRDefault="00A7598C" w:rsidP="00646A40">
            <w:pPr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</w:p>
        </w:tc>
        <w:tc>
          <w:tcPr>
            <w:tcW w:w="6422" w:type="dxa"/>
            <w:tcBorders>
              <w:top w:val="single" w:sz="12" w:space="0" w:color="156082"/>
              <w:left w:val="single" w:sz="4" w:space="0" w:color="156082"/>
              <w:bottom w:val="single" w:sz="4" w:space="0" w:color="45B0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2ED2" w14:textId="77777777" w:rsidR="00A7598C" w:rsidRPr="00623746" w:rsidRDefault="00A7598C" w:rsidP="00646A40"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Trabalho 1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: Determinação do teor do aditivo E330 (ácido cítrico) em refrigerantes através de titulação ácido/base.</w:t>
            </w:r>
          </w:p>
        </w:tc>
        <w:tc>
          <w:tcPr>
            <w:tcW w:w="979" w:type="dxa"/>
            <w:tcBorders>
              <w:top w:val="single" w:sz="12" w:space="0" w:color="156082"/>
              <w:bottom w:val="single" w:sz="4" w:space="0" w:color="45B0E1"/>
              <w:right w:val="single" w:sz="12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0308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3h</w:t>
            </w:r>
          </w:p>
        </w:tc>
      </w:tr>
      <w:tr w:rsidR="00A7598C" w14:paraId="15DB78D7" w14:textId="77777777" w:rsidTr="00E02683">
        <w:trPr>
          <w:trHeight w:val="624"/>
        </w:trPr>
        <w:tc>
          <w:tcPr>
            <w:tcW w:w="1370" w:type="dxa"/>
            <w:tcBorders>
              <w:top w:val="single" w:sz="4" w:space="0" w:color="45B0E1"/>
              <w:left w:val="single" w:sz="12" w:space="0" w:color="2C3FB1"/>
              <w:bottom w:val="single" w:sz="12" w:space="0" w:color="2C3FB1"/>
              <w:right w:val="single" w:sz="4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2B39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25/06/2024</w:t>
            </w:r>
          </w:p>
          <w:p w14:paraId="7E9CDE74" w14:textId="77777777" w:rsidR="00A7598C" w:rsidRDefault="00A7598C" w:rsidP="00646A40">
            <w:pPr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</w:p>
        </w:tc>
        <w:tc>
          <w:tcPr>
            <w:tcW w:w="6422" w:type="dxa"/>
            <w:tcBorders>
              <w:top w:val="single" w:sz="4" w:space="0" w:color="45B0E1"/>
              <w:left w:val="single" w:sz="4" w:space="0" w:color="156082"/>
              <w:bottom w:val="single" w:sz="12" w:space="0" w:color="2C3FB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038C" w14:textId="77777777" w:rsidR="00A7598C" w:rsidRDefault="00A7598C" w:rsidP="00646A40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Trabalho 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>
              <w:rPr>
                <w:rFonts w:ascii="Calibri" w:hAnsi="Calibri" w:cs="Calibri"/>
                <w:bCs/>
                <w:kern w:val="3"/>
                <w:sz w:val="22"/>
                <w:szCs w:val="22"/>
              </w:rPr>
              <w:t>Equilíbrio químico: A solubilidade de um composto molecular e de um composto iónico.  Efeito da temperatura.</w:t>
            </w:r>
          </w:p>
        </w:tc>
        <w:tc>
          <w:tcPr>
            <w:tcW w:w="979" w:type="dxa"/>
            <w:tcBorders>
              <w:top w:val="single" w:sz="4" w:space="0" w:color="45B0E1"/>
              <w:bottom w:val="single" w:sz="12" w:space="0" w:color="2C3FB1"/>
              <w:right w:val="single" w:sz="12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F1FE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3h</w:t>
            </w:r>
          </w:p>
        </w:tc>
      </w:tr>
      <w:tr w:rsidR="00A7598C" w14:paraId="18E889B4" w14:textId="77777777" w:rsidTr="00E02683">
        <w:trPr>
          <w:trHeight w:val="340"/>
        </w:trPr>
        <w:tc>
          <w:tcPr>
            <w:tcW w:w="1370" w:type="dxa"/>
            <w:tcBorders>
              <w:top w:val="single" w:sz="12" w:space="0" w:color="2C3FB1"/>
              <w:left w:val="single" w:sz="12" w:space="0" w:color="2C3FB1"/>
              <w:bottom w:val="single" w:sz="4" w:space="0" w:color="45B0E1"/>
              <w:right w:val="single" w:sz="4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7823C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27/06/2024</w:t>
            </w:r>
          </w:p>
          <w:p w14:paraId="5E0BFF21" w14:textId="77777777" w:rsidR="00A7598C" w:rsidRDefault="00A7598C" w:rsidP="00646A40">
            <w:pPr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</w:p>
        </w:tc>
        <w:tc>
          <w:tcPr>
            <w:tcW w:w="6422" w:type="dxa"/>
            <w:tcBorders>
              <w:top w:val="single" w:sz="12" w:space="0" w:color="2C3FB1"/>
              <w:left w:val="single" w:sz="4" w:space="0" w:color="156082"/>
              <w:bottom w:val="single" w:sz="4" w:space="0" w:color="45B0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6BD5" w14:textId="77777777" w:rsidR="00A7598C" w:rsidRPr="00623746" w:rsidRDefault="00A7598C" w:rsidP="00646A40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Trabalho 3</w:t>
            </w:r>
            <w:r>
              <w:rPr>
                <w:rFonts w:ascii="Calibri" w:hAnsi="Calibri" w:cs="Calibri"/>
                <w:sz w:val="22"/>
                <w:szCs w:val="22"/>
              </w:rPr>
              <w:t>: Síntese de um complexo com um ligando quelante.</w:t>
            </w:r>
          </w:p>
        </w:tc>
        <w:tc>
          <w:tcPr>
            <w:tcW w:w="979" w:type="dxa"/>
            <w:tcBorders>
              <w:top w:val="single" w:sz="12" w:space="0" w:color="2C3FB1"/>
              <w:bottom w:val="single" w:sz="4" w:space="0" w:color="45B0E1"/>
              <w:right w:val="single" w:sz="12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91DD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3h</w:t>
            </w:r>
          </w:p>
        </w:tc>
      </w:tr>
      <w:tr w:rsidR="00A7598C" w14:paraId="4ABF14C5" w14:textId="77777777" w:rsidTr="00E02683">
        <w:trPr>
          <w:trHeight w:val="340"/>
        </w:trPr>
        <w:tc>
          <w:tcPr>
            <w:tcW w:w="1370" w:type="dxa"/>
            <w:tcBorders>
              <w:top w:val="single" w:sz="12" w:space="0" w:color="2C3FB1"/>
              <w:left w:val="single" w:sz="12" w:space="0" w:color="2C3FB1"/>
              <w:bottom w:val="single" w:sz="4" w:space="0" w:color="45B0E1"/>
              <w:right w:val="single" w:sz="4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7DA2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02/07/2024</w:t>
            </w:r>
          </w:p>
        </w:tc>
        <w:tc>
          <w:tcPr>
            <w:tcW w:w="6422" w:type="dxa"/>
            <w:tcBorders>
              <w:top w:val="single" w:sz="12" w:space="0" w:color="2C3FB1"/>
              <w:left w:val="single" w:sz="4" w:space="0" w:color="156082"/>
              <w:bottom w:val="single" w:sz="4" w:space="0" w:color="45B0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6F04" w14:textId="77777777" w:rsidR="00A7598C" w:rsidRPr="00623746" w:rsidRDefault="00A7598C" w:rsidP="00646A40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Trabalho 4</w:t>
            </w:r>
            <w:r>
              <w:rPr>
                <w:rFonts w:ascii="Calibri" w:hAnsi="Calibri" w:cs="Calibri"/>
                <w:sz w:val="22"/>
                <w:szCs w:val="22"/>
              </w:rPr>
              <w:t>: Introdução à oxidação-redução.</w:t>
            </w:r>
          </w:p>
        </w:tc>
        <w:tc>
          <w:tcPr>
            <w:tcW w:w="979" w:type="dxa"/>
            <w:tcBorders>
              <w:top w:val="single" w:sz="12" w:space="0" w:color="2C3FB1"/>
              <w:bottom w:val="single" w:sz="4" w:space="0" w:color="45B0E1"/>
              <w:right w:val="single" w:sz="12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CB02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3h</w:t>
            </w:r>
          </w:p>
        </w:tc>
      </w:tr>
      <w:tr w:rsidR="00A7598C" w14:paraId="5A4963D2" w14:textId="77777777" w:rsidTr="00E02683">
        <w:trPr>
          <w:trHeight w:val="340"/>
        </w:trPr>
        <w:tc>
          <w:tcPr>
            <w:tcW w:w="1370" w:type="dxa"/>
            <w:tcBorders>
              <w:top w:val="single" w:sz="12" w:space="0" w:color="2C3FB1"/>
              <w:left w:val="single" w:sz="12" w:space="0" w:color="2C3FB1"/>
              <w:bottom w:val="single" w:sz="4" w:space="0" w:color="45B0E1"/>
              <w:right w:val="single" w:sz="4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ABF3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04/07/2024</w:t>
            </w:r>
          </w:p>
        </w:tc>
        <w:tc>
          <w:tcPr>
            <w:tcW w:w="6422" w:type="dxa"/>
            <w:tcBorders>
              <w:top w:val="single" w:sz="12" w:space="0" w:color="2C3FB1"/>
              <w:left w:val="single" w:sz="4" w:space="0" w:color="156082"/>
              <w:bottom w:val="single" w:sz="4" w:space="0" w:color="45B0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4FB5" w14:textId="77777777" w:rsidR="00A7598C" w:rsidRPr="00623746" w:rsidRDefault="00A7598C" w:rsidP="00646A40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Trabalho 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bookmarkStart w:id="0" w:name="_Hlk136943865"/>
            <w:r>
              <w:rPr>
                <w:rFonts w:ascii="Calibri" w:hAnsi="Calibri" w:cs="Calibri"/>
                <w:sz w:val="22"/>
                <w:szCs w:val="22"/>
              </w:rPr>
              <w:t>Proteção contra a corrosão. Anodização e coloração do alumínio</w:t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79" w:type="dxa"/>
            <w:tcBorders>
              <w:top w:val="single" w:sz="12" w:space="0" w:color="2C3FB1"/>
              <w:bottom w:val="single" w:sz="4" w:space="0" w:color="45B0E1"/>
              <w:right w:val="single" w:sz="12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C910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3h</w:t>
            </w:r>
          </w:p>
        </w:tc>
      </w:tr>
      <w:tr w:rsidR="00A7598C" w14:paraId="29CED5D2" w14:textId="77777777" w:rsidTr="00E02683">
        <w:trPr>
          <w:trHeight w:val="397"/>
        </w:trPr>
        <w:tc>
          <w:tcPr>
            <w:tcW w:w="1370" w:type="dxa"/>
            <w:tcBorders>
              <w:top w:val="single" w:sz="4" w:space="0" w:color="45B0E1"/>
              <w:left w:val="single" w:sz="12" w:space="0" w:color="2C3FB1"/>
              <w:bottom w:val="single" w:sz="12" w:space="0" w:color="2C3FB1"/>
              <w:right w:val="single" w:sz="4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569D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9/07/2024</w:t>
            </w:r>
          </w:p>
        </w:tc>
        <w:tc>
          <w:tcPr>
            <w:tcW w:w="6422" w:type="dxa"/>
            <w:tcBorders>
              <w:top w:val="single" w:sz="4" w:space="0" w:color="45B0E1"/>
              <w:left w:val="single" w:sz="4" w:space="0" w:color="156082"/>
              <w:bottom w:val="single" w:sz="12" w:space="0" w:color="2C3FB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B161" w14:textId="77777777" w:rsidR="00A7598C" w:rsidRDefault="00A7598C" w:rsidP="00646A40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Trabalho 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Deposição metálica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electroless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79" w:type="dxa"/>
            <w:tcBorders>
              <w:top w:val="single" w:sz="4" w:space="0" w:color="45B0E1"/>
              <w:bottom w:val="single" w:sz="12" w:space="0" w:color="2C3FB1"/>
              <w:right w:val="single" w:sz="12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C91B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3h</w:t>
            </w:r>
          </w:p>
        </w:tc>
      </w:tr>
      <w:tr w:rsidR="00A7598C" w14:paraId="07C3A997" w14:textId="77777777" w:rsidTr="00E02683">
        <w:trPr>
          <w:trHeight w:val="340"/>
        </w:trPr>
        <w:tc>
          <w:tcPr>
            <w:tcW w:w="1370" w:type="dxa"/>
            <w:tcBorders>
              <w:top w:val="single" w:sz="12" w:space="0" w:color="2C3FB1"/>
              <w:left w:val="single" w:sz="12" w:space="0" w:color="2C3FB1"/>
              <w:bottom w:val="single" w:sz="12" w:space="0" w:color="2C3FB1"/>
              <w:right w:val="single" w:sz="4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97ED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11/07/2024</w:t>
            </w:r>
          </w:p>
        </w:tc>
        <w:tc>
          <w:tcPr>
            <w:tcW w:w="6422" w:type="dxa"/>
            <w:tcBorders>
              <w:top w:val="single" w:sz="12" w:space="0" w:color="2C3FB1"/>
              <w:left w:val="single" w:sz="4" w:space="0" w:color="156082"/>
              <w:bottom w:val="single" w:sz="12" w:space="0" w:color="2C3FB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599A" w14:textId="77777777" w:rsidR="00A7598C" w:rsidRPr="00623746" w:rsidRDefault="00A7598C" w:rsidP="00646A40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Trabalho 7</w:t>
            </w:r>
            <w:r>
              <w:rPr>
                <w:rFonts w:ascii="Calibri" w:hAnsi="Calibri" w:cs="Calibri"/>
                <w:sz w:val="22"/>
                <w:szCs w:val="22"/>
              </w:rPr>
              <w:t>: Reciclagem metálica: ciclo do cobre.</w:t>
            </w:r>
          </w:p>
        </w:tc>
        <w:tc>
          <w:tcPr>
            <w:tcW w:w="979" w:type="dxa"/>
            <w:tcBorders>
              <w:top w:val="single" w:sz="12" w:space="0" w:color="2C3FB1"/>
              <w:bottom w:val="single" w:sz="12" w:space="0" w:color="2C3FB1"/>
              <w:right w:val="single" w:sz="12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88C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3h</w:t>
            </w:r>
          </w:p>
        </w:tc>
      </w:tr>
      <w:tr w:rsidR="00A7598C" w14:paraId="5706D52C" w14:textId="77777777" w:rsidTr="00E02683">
        <w:trPr>
          <w:trHeight w:val="340"/>
        </w:trPr>
        <w:tc>
          <w:tcPr>
            <w:tcW w:w="1370" w:type="dxa"/>
            <w:tcBorders>
              <w:top w:val="single" w:sz="12" w:space="0" w:color="2C3FB1"/>
              <w:left w:val="single" w:sz="12" w:space="0" w:color="2C3FB1"/>
              <w:bottom w:val="single" w:sz="12" w:space="0" w:color="2C3FB1"/>
              <w:right w:val="single" w:sz="4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BA74" w14:textId="77777777" w:rsidR="00A7598C" w:rsidRDefault="00A7598C" w:rsidP="00646A40">
            <w:pPr>
              <w:jc w:val="center"/>
            </w:pPr>
            <w:r w:rsidRPr="00805F9B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18/07/2024</w:t>
            </w:r>
          </w:p>
        </w:tc>
        <w:tc>
          <w:tcPr>
            <w:tcW w:w="6422" w:type="dxa"/>
            <w:tcBorders>
              <w:top w:val="single" w:sz="12" w:space="0" w:color="2C3FB1"/>
              <w:left w:val="single" w:sz="4" w:space="0" w:color="156082"/>
              <w:bottom w:val="single" w:sz="12" w:space="0" w:color="2C3FB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E19C" w14:textId="77777777" w:rsidR="00A7598C" w:rsidRPr="00623746" w:rsidRDefault="00A7598C" w:rsidP="00646A40">
            <w:r w:rsidRPr="00933328">
              <w:rPr>
                <w:rFonts w:ascii="Calibri" w:hAnsi="Calibri" w:cs="Calibri"/>
                <w:b/>
                <w:bCs/>
                <w:sz w:val="22"/>
                <w:szCs w:val="22"/>
              </w:rPr>
              <w:t>Avaliação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dos formandos e da ação de formação.</w:t>
            </w:r>
          </w:p>
        </w:tc>
        <w:tc>
          <w:tcPr>
            <w:tcW w:w="979" w:type="dxa"/>
            <w:tcBorders>
              <w:top w:val="single" w:sz="12" w:space="0" w:color="2C3FB1"/>
              <w:bottom w:val="single" w:sz="12" w:space="0" w:color="2C3FB1"/>
              <w:right w:val="single" w:sz="12" w:space="0" w:color="15608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060D" w14:textId="77777777" w:rsidR="00A7598C" w:rsidRDefault="00A7598C" w:rsidP="00646A4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3h</w:t>
            </w:r>
          </w:p>
        </w:tc>
      </w:tr>
    </w:tbl>
    <w:p w14:paraId="46ECECE3" w14:textId="77777777" w:rsidR="00541AE3" w:rsidRDefault="00541AE3">
      <w:pPr>
        <w:rPr>
          <w:rFonts w:ascii="Calibri" w:hAnsi="Calibri" w:cs="Calibri"/>
          <w:sz w:val="24"/>
          <w:szCs w:val="24"/>
          <w:u w:val="single"/>
        </w:rPr>
      </w:pPr>
    </w:p>
    <w:sectPr w:rsidR="00541AE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E990" w14:textId="77777777" w:rsidR="00E97590" w:rsidRDefault="00E97590">
      <w:r>
        <w:separator/>
      </w:r>
    </w:p>
  </w:endnote>
  <w:endnote w:type="continuationSeparator" w:id="0">
    <w:p w14:paraId="17B24832" w14:textId="77777777" w:rsidR="00E97590" w:rsidRDefault="00E9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7E44" w14:textId="77777777" w:rsidR="00E97590" w:rsidRDefault="00E97590">
      <w:r>
        <w:rPr>
          <w:color w:val="000000"/>
        </w:rPr>
        <w:separator/>
      </w:r>
    </w:p>
  </w:footnote>
  <w:footnote w:type="continuationSeparator" w:id="0">
    <w:p w14:paraId="473C3419" w14:textId="77777777" w:rsidR="00E97590" w:rsidRDefault="00E9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E3"/>
    <w:rsid w:val="00461BD3"/>
    <w:rsid w:val="00541AE3"/>
    <w:rsid w:val="005F345E"/>
    <w:rsid w:val="00A7598C"/>
    <w:rsid w:val="00E02683"/>
    <w:rsid w:val="00E9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14F0FD"/>
  <w15:docId w15:val="{95F8D23D-6ACD-4592-9A0C-59D1825F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t-PT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  <w:rPr>
      <w:rFonts w:eastAsia="Calibri"/>
      <w:sz w:val="24"/>
      <w:szCs w:val="24"/>
      <w:lang w:val="de-DE" w:eastAsia="ja-JP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dc:description/>
  <cp:lastModifiedBy>Susana Maria Marinho de Bastos Pinto Pina dos Santos</cp:lastModifiedBy>
  <cp:revision>4</cp:revision>
  <dcterms:created xsi:type="dcterms:W3CDTF">2024-03-04T17:46:00Z</dcterms:created>
  <dcterms:modified xsi:type="dcterms:W3CDTF">2024-03-04T18:55:00Z</dcterms:modified>
</cp:coreProperties>
</file>